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31E21" w14:textId="31381E35" w:rsidR="00716DE9" w:rsidRDefault="00ED7394" w:rsidP="002F3BC8">
      <w:pPr>
        <w:jc w:val="center"/>
        <w:rPr>
          <w:b/>
          <w:color w:val="000000" w:themeColor="text1"/>
          <w:kern w:val="32"/>
          <w:sz w:val="28"/>
          <w:szCs w:val="32"/>
        </w:rPr>
      </w:pPr>
      <w:bookmarkStart w:id="0" w:name="_Toc214683452"/>
      <w:r>
        <w:rPr>
          <w:noProof/>
        </w:rPr>
        <w:drawing>
          <wp:inline distT="0" distB="0" distL="0" distR="0" wp14:anchorId="50EBAA46" wp14:editId="7BF02328">
            <wp:extent cx="1851660" cy="1447800"/>
            <wp:effectExtent l="0" t="0" r="0" b="0"/>
            <wp:docPr id="15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901B" w14:textId="77777777" w:rsidR="00716DE9" w:rsidRDefault="00716DE9">
      <w:pPr>
        <w:rPr>
          <w:b/>
          <w:color w:val="000000" w:themeColor="text1"/>
          <w:kern w:val="32"/>
          <w:sz w:val="28"/>
          <w:szCs w:val="32"/>
        </w:rPr>
      </w:pPr>
    </w:p>
    <w:p w14:paraId="60305DE2" w14:textId="09827D8D" w:rsidR="00CC00E6" w:rsidRDefault="00CC00E6">
      <w:pPr>
        <w:rPr>
          <w:b/>
          <w:color w:val="000000" w:themeColor="text1"/>
          <w:kern w:val="32"/>
          <w:sz w:val="28"/>
          <w:szCs w:val="32"/>
        </w:rPr>
      </w:pPr>
      <w:r w:rsidRPr="00C734F4">
        <w:rPr>
          <w:b/>
          <w:color w:val="000000" w:themeColor="text1"/>
          <w:kern w:val="32"/>
          <w:sz w:val="28"/>
          <w:szCs w:val="32"/>
        </w:rPr>
        <w:t>TRANSFUSION SCIENCE</w:t>
      </w:r>
      <w:bookmarkEnd w:id="0"/>
    </w:p>
    <w:p w14:paraId="715DB4A3" w14:textId="0E39F02A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2E7B578" w14:textId="77777777" w:rsidR="005F10FC" w:rsidRPr="005F10FC" w:rsidRDefault="005F10FC" w:rsidP="005F10FC"/>
    <w:p w14:paraId="6E17415E" w14:textId="1CB66F69" w:rsidR="004E3385" w:rsidRPr="005F10FC" w:rsidRDefault="005F10FC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355BA0D4" w14:textId="1F7EEC55" w:rsidR="00D46A53" w:rsidRPr="004C1311" w:rsidRDefault="00D46A53" w:rsidP="00D46A53">
      <w:pPr>
        <w:jc w:val="both"/>
      </w:pPr>
      <w:bookmarkStart w:id="1" w:name="_Hlk91512368"/>
      <w:bookmarkStart w:id="2" w:name="_Toc214683455"/>
      <w:r w:rsidRPr="004C1311">
        <w:t xml:space="preserve">Avent N (ed.) </w:t>
      </w:r>
      <w:r w:rsidRPr="004C1311">
        <w:rPr>
          <w:i/>
        </w:rPr>
        <w:t>Transfusion and Transplantation Science</w:t>
      </w:r>
      <w:r w:rsidR="00393C3F">
        <w:rPr>
          <w:i/>
        </w:rPr>
        <w:t xml:space="preserve"> (Fundamentals of Biomedical Science)</w:t>
      </w:r>
      <w:r w:rsidR="00393C3F" w:rsidRPr="004C1311">
        <w:rPr>
          <w:i/>
        </w:rPr>
        <w:t xml:space="preserve">. </w:t>
      </w:r>
      <w:r w:rsidRPr="004C1311">
        <w:rPr>
          <w:i/>
        </w:rPr>
        <w:t xml:space="preserve"> </w:t>
      </w:r>
      <w:r w:rsidRPr="004C1311">
        <w:t>2</w:t>
      </w:r>
      <w:r w:rsidRPr="004C1311">
        <w:rPr>
          <w:vertAlign w:val="superscript"/>
        </w:rPr>
        <w:t>nd</w:t>
      </w:r>
      <w:r w:rsidRPr="004C1311">
        <w:t xml:space="preserve"> ed. Oxford University Press; 2018. </w:t>
      </w:r>
    </w:p>
    <w:p w14:paraId="1735AD19" w14:textId="77777777" w:rsidR="00D46A53" w:rsidRPr="004C1311" w:rsidRDefault="00D46A53" w:rsidP="00D46A53">
      <w:pPr>
        <w:rPr>
          <w:b/>
          <w:kern w:val="32"/>
          <w:szCs w:val="32"/>
        </w:rPr>
      </w:pPr>
    </w:p>
    <w:p w14:paraId="013E67E3" w14:textId="77777777" w:rsidR="00D46A53" w:rsidRPr="004C1311" w:rsidRDefault="00D46A53" w:rsidP="00D46A53">
      <w:pPr>
        <w:rPr>
          <w:bCs/>
        </w:rPr>
      </w:pPr>
      <w:r w:rsidRPr="004C1311">
        <w:rPr>
          <w:bCs/>
        </w:rPr>
        <w:t xml:space="preserve">Bennett JE, Dolin R, Blaser M. </w:t>
      </w:r>
      <w:r w:rsidRPr="004C1311">
        <w:rPr>
          <w:bCs/>
          <w:i/>
        </w:rPr>
        <w:t xml:space="preserve">Mandell, Douglas and Bennett’s Principles and Practice of Infectious Diseases. </w:t>
      </w:r>
      <w:r w:rsidRPr="004C1311">
        <w:rPr>
          <w:bCs/>
        </w:rPr>
        <w:t xml:space="preserve"> 9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Elsevier; 2019. </w:t>
      </w:r>
    </w:p>
    <w:p w14:paraId="52240DBC" w14:textId="77777777" w:rsidR="00D46A53" w:rsidRPr="004C1311" w:rsidRDefault="00D46A53" w:rsidP="00D46A53">
      <w:pPr>
        <w:rPr>
          <w:bCs/>
        </w:rPr>
      </w:pPr>
    </w:p>
    <w:p w14:paraId="741ABD9B" w14:textId="25D3E7A4" w:rsidR="00E92BD6" w:rsidRDefault="00E92BD6" w:rsidP="00D46A53">
      <w:bookmarkStart w:id="3" w:name="_Hlk122785246"/>
      <w:r w:rsidRPr="005C7D9E">
        <w:t xml:space="preserve">Blann A, Ahmed N. </w:t>
      </w:r>
      <w:r w:rsidRPr="005C7D9E">
        <w:rPr>
          <w:i/>
          <w:iCs/>
        </w:rPr>
        <w:t>Blood Science: Principles and Pathology</w:t>
      </w:r>
      <w:r w:rsidRPr="005C7D9E">
        <w:t>. 2</w:t>
      </w:r>
      <w:r w:rsidRPr="005C7D9E">
        <w:rPr>
          <w:vertAlign w:val="superscript"/>
        </w:rPr>
        <w:t>nd</w:t>
      </w:r>
      <w:r w:rsidRPr="005C7D9E">
        <w:t xml:space="preserve"> ed. Wiley; 2022.</w:t>
      </w:r>
    </w:p>
    <w:bookmarkEnd w:id="3"/>
    <w:p w14:paraId="24841B60" w14:textId="77777777" w:rsidR="00E92BD6" w:rsidRDefault="00E92BD6" w:rsidP="00D46A53"/>
    <w:p w14:paraId="4C2FCDD3" w14:textId="25882C5D" w:rsidR="00D46A53" w:rsidRPr="004C1311" w:rsidRDefault="00D46A53" w:rsidP="00D46A53">
      <w:pPr>
        <w:rPr>
          <w:bCs/>
        </w:rPr>
      </w:pPr>
      <w:r w:rsidRPr="004C1311">
        <w:t xml:space="preserve">Contreras M.  </w:t>
      </w:r>
      <w:r w:rsidRPr="004C1311">
        <w:rPr>
          <w:i/>
        </w:rPr>
        <w:t>ABC of Transfusion</w:t>
      </w:r>
      <w:r w:rsidRPr="004C1311">
        <w:t xml:space="preserve">. 4th ed. Wiley-Blackwell; 2008. </w:t>
      </w:r>
    </w:p>
    <w:p w14:paraId="60F7E580" w14:textId="77777777" w:rsidR="00D46A53" w:rsidRPr="004C1311" w:rsidRDefault="00D46A53" w:rsidP="00D46A53">
      <w:pPr>
        <w:rPr>
          <w:bCs/>
        </w:rPr>
      </w:pPr>
    </w:p>
    <w:p w14:paraId="212C5524" w14:textId="77777777" w:rsidR="00D46A53" w:rsidRPr="004C1311" w:rsidRDefault="00D46A53" w:rsidP="00D46A53">
      <w:pPr>
        <w:rPr>
          <w:bCs/>
        </w:rPr>
      </w:pPr>
      <w:r w:rsidRPr="004C1311">
        <w:rPr>
          <w:bCs/>
        </w:rPr>
        <w:t>Council of Europe - European Directorate for the Quality of Medicines and HealthCare</w:t>
      </w:r>
      <w:r w:rsidRPr="004C1311">
        <w:rPr>
          <w:i/>
        </w:rPr>
        <w:t>. Guide to the Preparation, Use and Quality Assurance of Blood Components</w:t>
      </w:r>
      <w:r w:rsidRPr="004C1311">
        <w:t>. 19</w:t>
      </w:r>
      <w:r w:rsidRPr="004C1311">
        <w:rPr>
          <w:vertAlign w:val="superscript"/>
        </w:rPr>
        <w:t>th</w:t>
      </w:r>
      <w:r w:rsidRPr="004C1311">
        <w:t xml:space="preserve"> </w:t>
      </w:r>
      <w:proofErr w:type="spellStart"/>
      <w:r w:rsidRPr="004C1311">
        <w:t>edn</w:t>
      </w:r>
      <w:proofErr w:type="spellEnd"/>
      <w:r w:rsidRPr="004C1311">
        <w:t xml:space="preserve">.  See: </w:t>
      </w:r>
      <w:hyperlink r:id="rId9" w:history="1">
        <w:r w:rsidRPr="004C1311">
          <w:rPr>
            <w:rStyle w:val="Hyperlink"/>
          </w:rPr>
          <w:t>https://www.edqm.eu/en/blood-transfusion-guide</w:t>
        </w:r>
      </w:hyperlink>
      <w:r w:rsidRPr="004C1311">
        <w:t xml:space="preserve"> </w:t>
      </w:r>
    </w:p>
    <w:p w14:paraId="3CCB004C" w14:textId="77777777" w:rsidR="00D46A53" w:rsidRPr="004C1311" w:rsidRDefault="00D46A53" w:rsidP="00D46A53">
      <w:pPr>
        <w:rPr>
          <w:bCs/>
        </w:rPr>
      </w:pPr>
    </w:p>
    <w:p w14:paraId="52D7429E" w14:textId="77777777" w:rsidR="00D46A53" w:rsidRPr="004C1311" w:rsidRDefault="00D46A53" w:rsidP="00D46A53">
      <w:pPr>
        <w:ind w:right="-148"/>
      </w:pPr>
      <w:r w:rsidRPr="004C1311">
        <w:t xml:space="preserve">Daniels G. </w:t>
      </w:r>
      <w:r w:rsidRPr="004C1311">
        <w:rPr>
          <w:i/>
          <w:iCs/>
        </w:rPr>
        <w:t xml:space="preserve">Human Blood Groups. </w:t>
      </w:r>
      <w:r w:rsidRPr="004C1311">
        <w:t>3</w:t>
      </w:r>
      <w:r w:rsidRPr="004C1311">
        <w:rPr>
          <w:vertAlign w:val="superscript"/>
        </w:rPr>
        <w:t>rd</w:t>
      </w:r>
      <w:r w:rsidRPr="004C1311">
        <w:t xml:space="preserve"> ed. Wiley-Blackwell; 2013. </w:t>
      </w:r>
    </w:p>
    <w:p w14:paraId="27238D87" w14:textId="77777777" w:rsidR="00D46A53" w:rsidRPr="004C1311" w:rsidRDefault="00D46A53" w:rsidP="00D46A53">
      <w:pPr>
        <w:ind w:right="-148"/>
      </w:pPr>
    </w:p>
    <w:p w14:paraId="19F93DA0" w14:textId="77777777" w:rsidR="00D46A53" w:rsidRPr="004C1311" w:rsidRDefault="00D46A53" w:rsidP="00D46A53">
      <w:r w:rsidRPr="004C1311">
        <w:t xml:space="preserve">Daniels G, </w:t>
      </w:r>
      <w:proofErr w:type="spellStart"/>
      <w:r w:rsidRPr="004C1311">
        <w:t>Bromilow</w:t>
      </w:r>
      <w:proofErr w:type="spellEnd"/>
      <w:r w:rsidRPr="004C1311">
        <w:t xml:space="preserve"> I. </w:t>
      </w:r>
      <w:r w:rsidRPr="004C1311">
        <w:rPr>
          <w:i/>
        </w:rPr>
        <w:t>Essential Guide to Blood Groups</w:t>
      </w:r>
      <w:r w:rsidRPr="004C1311">
        <w:t>. 3</w:t>
      </w:r>
      <w:r w:rsidRPr="004C1311">
        <w:rPr>
          <w:vertAlign w:val="superscript"/>
        </w:rPr>
        <w:t>rd</w:t>
      </w:r>
      <w:r w:rsidRPr="004C1311">
        <w:t xml:space="preserve"> </w:t>
      </w:r>
      <w:r w:rsidRPr="004C1311">
        <w:rPr>
          <w:iCs/>
        </w:rPr>
        <w:t>ed.</w:t>
      </w:r>
      <w:r w:rsidRPr="004C1311">
        <w:rPr>
          <w:b/>
        </w:rPr>
        <w:t xml:space="preserve"> </w:t>
      </w:r>
      <w:r w:rsidRPr="004C1311">
        <w:t xml:space="preserve">Wiley-Blackwell; 2013. </w:t>
      </w:r>
    </w:p>
    <w:p w14:paraId="09BDE4D7" w14:textId="77777777" w:rsidR="00D46A53" w:rsidRPr="004C1311" w:rsidRDefault="00D46A53" w:rsidP="00D46A53"/>
    <w:p w14:paraId="5500CB0B" w14:textId="77777777" w:rsidR="00D46A53" w:rsidRPr="004C1311" w:rsidRDefault="00D46A53" w:rsidP="00D46A53">
      <w:r w:rsidRPr="004C1311">
        <w:t xml:space="preserve">Fung MK, Grossman BJ, Hillyer CD, Westhoff CM. </w:t>
      </w:r>
      <w:r w:rsidRPr="004C1311">
        <w:rPr>
          <w:i/>
        </w:rPr>
        <w:t>Technical Manual (AABB).</w:t>
      </w:r>
      <w:r w:rsidRPr="004C1311">
        <w:t xml:space="preserve"> 18</w:t>
      </w:r>
      <w:r w:rsidRPr="004C1311">
        <w:rPr>
          <w:vertAlign w:val="superscript"/>
        </w:rPr>
        <w:t>th</w:t>
      </w:r>
      <w:r w:rsidRPr="004C1311">
        <w:t xml:space="preserve"> ed.  American Association of Blood Banks; 2014. </w:t>
      </w:r>
    </w:p>
    <w:p w14:paraId="71485088" w14:textId="77777777" w:rsidR="00D46A53" w:rsidRPr="004C1311" w:rsidRDefault="00D46A53" w:rsidP="00D46A53"/>
    <w:p w14:paraId="7E4661CC" w14:textId="77777777" w:rsidR="00D46A53" w:rsidRPr="004C1311" w:rsidRDefault="00D46A53" w:rsidP="00D46A53">
      <w:r w:rsidRPr="004C1311">
        <w:t xml:space="preserve">Harmening DM. </w:t>
      </w:r>
      <w:r w:rsidRPr="004C1311">
        <w:rPr>
          <w:i/>
        </w:rPr>
        <w:t>Modern Blood Banking and Transfusion Practices</w:t>
      </w:r>
      <w:r w:rsidRPr="004C1311">
        <w:t>. 7</w:t>
      </w:r>
      <w:r w:rsidRPr="004C1311">
        <w:rPr>
          <w:vertAlign w:val="superscript"/>
        </w:rPr>
        <w:t>th</w:t>
      </w:r>
      <w:r w:rsidRPr="004C1311">
        <w:t xml:space="preserve"> ed. F.A. Davis Company; 2018. </w:t>
      </w:r>
    </w:p>
    <w:p w14:paraId="6D22BAA1" w14:textId="77777777" w:rsidR="00D46A53" w:rsidRPr="004C1311" w:rsidRDefault="00D46A53" w:rsidP="00D46A53"/>
    <w:p w14:paraId="685EA580" w14:textId="7C4CBE54" w:rsidR="00D46A53" w:rsidRPr="004C1311" w:rsidRDefault="00D46A53" w:rsidP="00D46A53">
      <w:pPr>
        <w:ind w:right="-148"/>
      </w:pPr>
      <w:bookmarkStart w:id="4" w:name="_Hlk185668816"/>
      <w:proofErr w:type="spellStart"/>
      <w:r w:rsidRPr="00CC0396">
        <w:t>Hoffbrand</w:t>
      </w:r>
      <w:proofErr w:type="spellEnd"/>
      <w:r w:rsidRPr="00CC0396">
        <w:t xml:space="preserve"> AV, </w:t>
      </w:r>
      <w:r w:rsidR="003771E7" w:rsidRPr="00CC0396">
        <w:t>Chowdary P, Collins GP, Loke J</w:t>
      </w:r>
      <w:r w:rsidRPr="00CC0396">
        <w:t xml:space="preserve">. </w:t>
      </w:r>
      <w:proofErr w:type="spellStart"/>
      <w:r w:rsidRPr="00CC0396">
        <w:rPr>
          <w:i/>
          <w:iCs/>
        </w:rPr>
        <w:t>Hoffbrand’s</w:t>
      </w:r>
      <w:proofErr w:type="spellEnd"/>
      <w:r w:rsidRPr="00CC0396">
        <w:rPr>
          <w:i/>
          <w:iCs/>
        </w:rPr>
        <w:t xml:space="preserve"> Essential Haematology</w:t>
      </w:r>
      <w:r w:rsidRPr="00CC0396">
        <w:t xml:space="preserve">. </w:t>
      </w:r>
      <w:r w:rsidR="003771E7" w:rsidRPr="00CC0396">
        <w:t>9</w:t>
      </w:r>
      <w:r w:rsidRPr="00CC0396">
        <w:rPr>
          <w:vertAlign w:val="superscript"/>
        </w:rPr>
        <w:t>th</w:t>
      </w:r>
      <w:r w:rsidRPr="00CC0396">
        <w:t xml:space="preserve"> ed. Wiley-Blackwell; 20</w:t>
      </w:r>
      <w:r w:rsidR="003771E7" w:rsidRPr="00CC0396">
        <w:t>24</w:t>
      </w:r>
      <w:r w:rsidRPr="00CC0396">
        <w:t>.</w:t>
      </w:r>
      <w:r w:rsidRPr="004C1311">
        <w:t xml:space="preserve"> </w:t>
      </w:r>
    </w:p>
    <w:bookmarkEnd w:id="4"/>
    <w:p w14:paraId="120018D0" w14:textId="77777777" w:rsidR="00D46A53" w:rsidRPr="004C1311" w:rsidRDefault="00D46A53" w:rsidP="00D46A53">
      <w:pPr>
        <w:ind w:right="-148"/>
      </w:pPr>
    </w:p>
    <w:p w14:paraId="28C499F6" w14:textId="77777777" w:rsidR="00D46A53" w:rsidRPr="004C1311" w:rsidRDefault="00D46A53" w:rsidP="00D46A53">
      <w:r w:rsidRPr="004C1311">
        <w:t xml:space="preserve">Howard P. </w:t>
      </w:r>
      <w:r w:rsidRPr="004C1311">
        <w:rPr>
          <w:i/>
          <w:iCs/>
        </w:rPr>
        <w:t>Basic and Applied Concepts of Blood Banking and Transfusion Practices</w:t>
      </w:r>
      <w:r w:rsidRPr="004C1311">
        <w:t xml:space="preserve">. </w:t>
      </w:r>
      <w:r>
        <w:t>5</w:t>
      </w:r>
      <w:r w:rsidRPr="004C1311">
        <w:rPr>
          <w:vertAlign w:val="superscript"/>
        </w:rPr>
        <w:t>th</w:t>
      </w:r>
      <w:r w:rsidRPr="004C1311">
        <w:t xml:space="preserve"> ed. Mosby; 20</w:t>
      </w:r>
      <w:r>
        <w:t>21</w:t>
      </w:r>
      <w:r w:rsidRPr="004C1311">
        <w:t xml:space="preserve">. </w:t>
      </w:r>
    </w:p>
    <w:p w14:paraId="19534743" w14:textId="77777777" w:rsidR="00D46A53" w:rsidRPr="004C1311" w:rsidRDefault="00D46A53" w:rsidP="00D46A53"/>
    <w:p w14:paraId="2AE1A776" w14:textId="77777777" w:rsidR="00D46A53" w:rsidRPr="004C1311" w:rsidRDefault="00D46A53" w:rsidP="00D46A53">
      <w:r w:rsidRPr="004C1311">
        <w:lastRenderedPageBreak/>
        <w:t>Joint UKBTS and HPA Professional Advisory Committee.</w:t>
      </w:r>
      <w:r w:rsidRPr="004C1311">
        <w:rPr>
          <w:i/>
        </w:rPr>
        <w:t xml:space="preserve"> Guidelines for the Blood Transfusion Services in the United Kingdom</w:t>
      </w:r>
      <w:r w:rsidRPr="004C1311">
        <w:t xml:space="preserve"> 2013. 8</w:t>
      </w:r>
      <w:r w:rsidRPr="004C1311">
        <w:rPr>
          <w:vertAlign w:val="superscript"/>
        </w:rPr>
        <w:t>th</w:t>
      </w:r>
      <w:r w:rsidRPr="004C1311">
        <w:t xml:space="preserve"> ed. Stationery Office; 2013. </w:t>
      </w:r>
    </w:p>
    <w:p w14:paraId="2DE236B4" w14:textId="77777777" w:rsidR="00D46A53" w:rsidRPr="004C1311" w:rsidRDefault="00D46A53" w:rsidP="00D46A53">
      <w:pPr>
        <w:rPr>
          <w:i/>
        </w:rPr>
      </w:pPr>
    </w:p>
    <w:p w14:paraId="5A597340" w14:textId="77777777" w:rsidR="00D46A53" w:rsidRPr="004C1311" w:rsidRDefault="00D46A53" w:rsidP="00D46A53">
      <w:pPr>
        <w:jc w:val="both"/>
      </w:pPr>
      <w:r w:rsidRPr="004C1311">
        <w:t xml:space="preserve">Klein HG, Anstee DJ. (eds.) </w:t>
      </w:r>
      <w:r w:rsidRPr="004C1311">
        <w:rPr>
          <w:i/>
        </w:rPr>
        <w:t>Mollison’s</w:t>
      </w:r>
      <w:r w:rsidRPr="004C1311">
        <w:t xml:space="preserve"> </w:t>
      </w:r>
      <w:r w:rsidRPr="004C1311">
        <w:rPr>
          <w:i/>
        </w:rPr>
        <w:t>Blood Transfusions in Clinical Medicine</w:t>
      </w:r>
      <w:r w:rsidRPr="004C1311">
        <w:t>. 12</w:t>
      </w:r>
      <w:r w:rsidRPr="004C1311">
        <w:rPr>
          <w:vertAlign w:val="superscript"/>
        </w:rPr>
        <w:t>th</w:t>
      </w:r>
      <w:r w:rsidRPr="004C1311">
        <w:t xml:space="preserve"> ed. Wiley-Blackwell; 2014. </w:t>
      </w:r>
    </w:p>
    <w:p w14:paraId="34A7529D" w14:textId="77777777" w:rsidR="00D46A53" w:rsidRPr="004C1311" w:rsidRDefault="00D46A53" w:rsidP="00D46A53">
      <w:pPr>
        <w:jc w:val="both"/>
      </w:pPr>
    </w:p>
    <w:p w14:paraId="12192E40" w14:textId="77777777" w:rsidR="00D46A53" w:rsidRPr="004C1311" w:rsidRDefault="00D46A53" w:rsidP="00D46A53">
      <w:pPr>
        <w:jc w:val="both"/>
      </w:pPr>
      <w:r w:rsidRPr="004C1311">
        <w:t xml:space="preserve">McCullough J. </w:t>
      </w:r>
      <w:r w:rsidRPr="004C1311">
        <w:rPr>
          <w:i/>
        </w:rPr>
        <w:t>Transfusion Medicine</w:t>
      </w:r>
      <w:r w:rsidRPr="004C1311">
        <w:t xml:space="preserve">. </w:t>
      </w:r>
      <w:r>
        <w:t>5</w:t>
      </w:r>
      <w:r w:rsidRPr="004C1311">
        <w:rPr>
          <w:vertAlign w:val="superscript"/>
        </w:rPr>
        <w:t>th</w:t>
      </w:r>
      <w:r w:rsidRPr="004C1311">
        <w:t xml:space="preserve"> ed. Wiley-Blackwell; 20</w:t>
      </w:r>
      <w:r>
        <w:t>21</w:t>
      </w:r>
      <w:r w:rsidRPr="004C1311">
        <w:t xml:space="preserve">. </w:t>
      </w:r>
    </w:p>
    <w:p w14:paraId="45342B40" w14:textId="77777777" w:rsidR="00D46A53" w:rsidRPr="004C1311" w:rsidRDefault="00D46A53" w:rsidP="00D46A53"/>
    <w:p w14:paraId="7D6C0AEA" w14:textId="5F40A36B" w:rsidR="00D46A53" w:rsidRPr="004C1311" w:rsidRDefault="00D46A53" w:rsidP="00D46A53">
      <w:proofErr w:type="spellStart"/>
      <w:r w:rsidRPr="00BB72E4">
        <w:t>Mijovic</w:t>
      </w:r>
      <w:proofErr w:type="spellEnd"/>
      <w:r w:rsidRPr="00BB72E4">
        <w:t xml:space="preserve"> A. </w:t>
      </w:r>
      <w:r w:rsidR="00136155" w:rsidRPr="00BB72E4">
        <w:t>(ed.)</w:t>
      </w:r>
      <w:r w:rsidRPr="00BB72E4">
        <w:t xml:space="preserve"> </w:t>
      </w:r>
      <w:r w:rsidRPr="00BB72E4">
        <w:rPr>
          <w:i/>
        </w:rPr>
        <w:t>Transfusion Medicine: Case Studies and Clinical Management.</w:t>
      </w:r>
      <w:r w:rsidRPr="00BB72E4">
        <w:t xml:space="preserve">  </w:t>
      </w:r>
      <w:r w:rsidR="00136155" w:rsidRPr="00BB72E4">
        <w:t>2</w:t>
      </w:r>
      <w:r w:rsidR="00136155" w:rsidRPr="00BB72E4">
        <w:rPr>
          <w:vertAlign w:val="superscript"/>
        </w:rPr>
        <w:t>nd</w:t>
      </w:r>
      <w:r w:rsidR="00136155" w:rsidRPr="00BB72E4">
        <w:t xml:space="preserve"> ed. </w:t>
      </w:r>
      <w:r w:rsidRPr="00BB72E4">
        <w:t>Springer; 20</w:t>
      </w:r>
      <w:r w:rsidR="00136155" w:rsidRPr="00BB72E4">
        <w:t>23</w:t>
      </w:r>
      <w:r w:rsidRPr="00BB72E4">
        <w:t>.</w:t>
      </w:r>
      <w:r w:rsidRPr="004C1311">
        <w:t xml:space="preserve">  </w:t>
      </w:r>
    </w:p>
    <w:p w14:paraId="34EBBCF4" w14:textId="77777777" w:rsidR="00D46A53" w:rsidRPr="004C1311" w:rsidRDefault="00D46A53" w:rsidP="00D46A53"/>
    <w:p w14:paraId="52BC9F8D" w14:textId="7B82F85D" w:rsidR="00D46A53" w:rsidRPr="005C7D9E" w:rsidRDefault="00D46A53" w:rsidP="00D46A53">
      <w:r w:rsidRPr="005C7D9E">
        <w:t>Murphy M</w:t>
      </w:r>
      <w:r w:rsidR="00162A4E" w:rsidRPr="005C7D9E">
        <w:t>F</w:t>
      </w:r>
      <w:r w:rsidRPr="005C7D9E">
        <w:t>, Roberts D</w:t>
      </w:r>
      <w:r w:rsidR="00162A4E" w:rsidRPr="005C7D9E">
        <w:t>J</w:t>
      </w:r>
      <w:r w:rsidRPr="005C7D9E">
        <w:t xml:space="preserve">, </w:t>
      </w:r>
      <w:proofErr w:type="spellStart"/>
      <w:r w:rsidRPr="005C7D9E">
        <w:t>Yazer</w:t>
      </w:r>
      <w:proofErr w:type="spellEnd"/>
      <w:r w:rsidRPr="005C7D9E">
        <w:t xml:space="preserve"> M</w:t>
      </w:r>
      <w:r w:rsidR="00162A4E" w:rsidRPr="005C7D9E">
        <w:t>H, Dunbar NM</w:t>
      </w:r>
      <w:r w:rsidRPr="005C7D9E">
        <w:t xml:space="preserve">. (eds). </w:t>
      </w:r>
      <w:r w:rsidRPr="005C7D9E">
        <w:rPr>
          <w:i/>
          <w:iCs/>
        </w:rPr>
        <w:t>Practical Transfusion Medicine.</w:t>
      </w:r>
      <w:r w:rsidRPr="005C7D9E">
        <w:t xml:space="preserve"> </w:t>
      </w:r>
      <w:r w:rsidR="00162A4E" w:rsidRPr="005C7D9E">
        <w:t>6</w:t>
      </w:r>
      <w:r w:rsidRPr="005C7D9E">
        <w:rPr>
          <w:vertAlign w:val="superscript"/>
        </w:rPr>
        <w:t>th</w:t>
      </w:r>
      <w:r w:rsidRPr="005C7D9E">
        <w:t xml:space="preserve"> ed. Wiley-Blackwell; 20</w:t>
      </w:r>
      <w:r w:rsidR="00162A4E" w:rsidRPr="005C7D9E">
        <w:t>22</w:t>
      </w:r>
      <w:r w:rsidRPr="005C7D9E">
        <w:t xml:space="preserve">. </w:t>
      </w:r>
    </w:p>
    <w:p w14:paraId="2941C5EE" w14:textId="77777777" w:rsidR="00D46A53" w:rsidRPr="005C7D9E" w:rsidRDefault="00D46A53" w:rsidP="00D46A53">
      <w:pPr>
        <w:ind w:right="-148"/>
      </w:pPr>
    </w:p>
    <w:p w14:paraId="5B530FE7" w14:textId="77777777" w:rsidR="00D46A53" w:rsidRDefault="00D46A53" w:rsidP="00D46A53">
      <w:p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5C7D9E">
        <w:rPr>
          <w:lang w:eastAsia="en-GB"/>
        </w:rPr>
        <w:t>Roitt</w:t>
      </w:r>
      <w:proofErr w:type="spellEnd"/>
      <w:r w:rsidRPr="005C7D9E">
        <w:rPr>
          <w:lang w:eastAsia="en-GB"/>
        </w:rPr>
        <w:t xml:space="preserve"> I, Delves PJ, Martin SJ, Burton DR. </w:t>
      </w:r>
      <w:proofErr w:type="spellStart"/>
      <w:r w:rsidRPr="005C7D9E">
        <w:rPr>
          <w:bCs/>
          <w:i/>
          <w:lang w:eastAsia="en-GB"/>
        </w:rPr>
        <w:t>Roitt’s</w:t>
      </w:r>
      <w:proofErr w:type="spellEnd"/>
      <w:r w:rsidRPr="005C7D9E">
        <w:rPr>
          <w:bCs/>
          <w:i/>
          <w:lang w:eastAsia="en-GB"/>
        </w:rPr>
        <w:t xml:space="preserve"> Essential Immunology</w:t>
      </w:r>
      <w:r w:rsidRPr="005C7D9E">
        <w:rPr>
          <w:b/>
          <w:bCs/>
          <w:lang w:eastAsia="en-GB"/>
        </w:rPr>
        <w:t xml:space="preserve">. </w:t>
      </w:r>
      <w:r w:rsidRPr="005C7D9E">
        <w:rPr>
          <w:bCs/>
          <w:lang w:eastAsia="en-GB"/>
        </w:rPr>
        <w:t>13</w:t>
      </w:r>
      <w:r w:rsidRPr="005C7D9E">
        <w:rPr>
          <w:bCs/>
          <w:vertAlign w:val="superscript"/>
          <w:lang w:eastAsia="en-GB"/>
        </w:rPr>
        <w:t>th</w:t>
      </w:r>
      <w:r w:rsidRPr="005C7D9E">
        <w:rPr>
          <w:bCs/>
          <w:lang w:eastAsia="en-GB"/>
        </w:rPr>
        <w:t xml:space="preserve"> ed.</w:t>
      </w:r>
      <w:r w:rsidRPr="005C7D9E">
        <w:rPr>
          <w:b/>
          <w:bCs/>
          <w:lang w:eastAsia="en-GB"/>
        </w:rPr>
        <w:t xml:space="preserve"> </w:t>
      </w:r>
      <w:r w:rsidRPr="005C7D9E">
        <w:rPr>
          <w:lang w:eastAsia="en-GB"/>
        </w:rPr>
        <w:t xml:space="preserve">Wiley-Blackwell; 2017. </w:t>
      </w:r>
    </w:p>
    <w:p w14:paraId="24CB94CE" w14:textId="77777777" w:rsidR="00BB72E4" w:rsidRDefault="00BB72E4" w:rsidP="00D46A53">
      <w:pPr>
        <w:autoSpaceDE w:val="0"/>
        <w:autoSpaceDN w:val="0"/>
        <w:adjustRightInd w:val="0"/>
        <w:jc w:val="both"/>
        <w:rPr>
          <w:lang w:eastAsia="en-GB"/>
        </w:rPr>
      </w:pPr>
    </w:p>
    <w:p w14:paraId="10FB66F9" w14:textId="4F9F0745" w:rsidR="00BB72E4" w:rsidRPr="005C7D9E" w:rsidRDefault="00BB72E4" w:rsidP="00BB72E4">
      <w:r w:rsidRPr="00CC0396">
        <w:t xml:space="preserve">Shaz BH, Hillyer CD, </w:t>
      </w:r>
      <w:r w:rsidR="00165CE2" w:rsidRPr="00CC0396">
        <w:t xml:space="preserve">Schwartz J, </w:t>
      </w:r>
      <w:r w:rsidRPr="00CC0396">
        <w:t xml:space="preserve">Gill MR (eds.) </w:t>
      </w:r>
      <w:r w:rsidRPr="00CC0396">
        <w:rPr>
          <w:i/>
        </w:rPr>
        <w:t xml:space="preserve">Transfusion Medicine and Haemostasis: Clinical and Laboratory Aspects. </w:t>
      </w:r>
      <w:r w:rsidR="00165CE2" w:rsidRPr="00CC0396">
        <w:t>4</w:t>
      </w:r>
      <w:r w:rsidR="00165CE2" w:rsidRPr="00CC0396">
        <w:rPr>
          <w:vertAlign w:val="superscript"/>
        </w:rPr>
        <w:t>th</w:t>
      </w:r>
      <w:r w:rsidR="00165CE2" w:rsidRPr="00CC0396">
        <w:t xml:space="preserve"> </w:t>
      </w:r>
      <w:r w:rsidRPr="00CC0396">
        <w:t>ed. Elsevier Science; 20</w:t>
      </w:r>
      <w:r w:rsidR="00165CE2" w:rsidRPr="00CC0396">
        <w:t>24</w:t>
      </w:r>
      <w:r w:rsidRPr="00165CE2">
        <w:rPr>
          <w:highlight w:val="yellow"/>
        </w:rPr>
        <w:t>.</w:t>
      </w:r>
      <w:r w:rsidRPr="00CD1B98">
        <w:t xml:space="preserve"> </w:t>
      </w:r>
    </w:p>
    <w:p w14:paraId="44713F81" w14:textId="77777777" w:rsidR="00D46A53" w:rsidRPr="005C7D9E" w:rsidRDefault="00D46A53" w:rsidP="00D46A53"/>
    <w:p w14:paraId="479E1AFE" w14:textId="2F77022C" w:rsidR="00D46A53" w:rsidRPr="004C1311" w:rsidRDefault="00D46A53" w:rsidP="00D46A53">
      <w:r w:rsidRPr="005C7D9E">
        <w:t xml:space="preserve">Simon T </w:t>
      </w:r>
      <w:r w:rsidRPr="005C7D9E">
        <w:rPr>
          <w:i/>
          <w:u w:val="single"/>
        </w:rPr>
        <w:t>et al</w:t>
      </w:r>
      <w:r w:rsidRPr="005C7D9E">
        <w:t xml:space="preserve">. (ed.) </w:t>
      </w:r>
      <w:r w:rsidRPr="005C7D9E">
        <w:rPr>
          <w:i/>
        </w:rPr>
        <w:t>Rossi’s Principles of Transfusion Medicine.</w:t>
      </w:r>
      <w:r w:rsidRPr="005C7D9E">
        <w:t xml:space="preserve">  </w:t>
      </w:r>
      <w:r w:rsidR="00162A4E" w:rsidRPr="005C7D9E">
        <w:t>6</w:t>
      </w:r>
      <w:r w:rsidRPr="005C7D9E">
        <w:rPr>
          <w:vertAlign w:val="superscript"/>
        </w:rPr>
        <w:t>th</w:t>
      </w:r>
      <w:r w:rsidRPr="005C7D9E">
        <w:t xml:space="preserve"> ed.  Wiley-Blackwell; 20</w:t>
      </w:r>
      <w:r w:rsidR="00162A4E" w:rsidRPr="005C7D9E">
        <w:t>22</w:t>
      </w:r>
      <w:r w:rsidRPr="005C7D9E">
        <w:t>.</w:t>
      </w:r>
      <w:r w:rsidRPr="004C1311">
        <w:t xml:space="preserve"> </w:t>
      </w:r>
    </w:p>
    <w:p w14:paraId="177E6807" w14:textId="77777777" w:rsidR="00D46A53" w:rsidRPr="004C1311" w:rsidRDefault="00D46A53" w:rsidP="00D46A53"/>
    <w:p w14:paraId="4FB3F80B" w14:textId="0D3D76ED" w:rsidR="007D1714" w:rsidRDefault="00D46A53" w:rsidP="007D1714">
      <w:r w:rsidRPr="004C1311">
        <w:t xml:space="preserve">Thomas D, Thompson J, Ridler B. (eds.) </w:t>
      </w:r>
      <w:r w:rsidRPr="004C1311">
        <w:rPr>
          <w:i/>
        </w:rPr>
        <w:t>All Blood Counts: A Manual for Blood Conservation and Patient Blood Management.</w:t>
      </w:r>
      <w:r w:rsidRPr="004C1311">
        <w:t xml:space="preserve">  Tfm Publishing; 2016. </w:t>
      </w:r>
      <w:bookmarkEnd w:id="1"/>
    </w:p>
    <w:p w14:paraId="2D727B23" w14:textId="13DF3AEB" w:rsidR="00F758E4" w:rsidRDefault="00F758E4" w:rsidP="007D1714"/>
    <w:p w14:paraId="75E4132C" w14:textId="77777777" w:rsidR="002F3BC8" w:rsidRPr="007D1714" w:rsidRDefault="002F3BC8" w:rsidP="007D1714"/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82ED8" w:rsidRPr="00C734F4" w14:paraId="22E5CFE4" w14:textId="77777777" w:rsidTr="00F758E4">
        <w:tc>
          <w:tcPr>
            <w:tcW w:w="9606" w:type="dxa"/>
            <w:gridSpan w:val="2"/>
            <w:shd w:val="clear" w:color="auto" w:fill="auto"/>
          </w:tcPr>
          <w:p w14:paraId="054E2B75" w14:textId="77777777" w:rsidR="00782ED8" w:rsidRPr="00C734F4" w:rsidRDefault="00782ED8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</w:p>
        </w:tc>
      </w:tr>
      <w:tr w:rsidR="00F758E4" w:rsidRPr="00C734F4" w14:paraId="33788A23" w14:textId="77777777" w:rsidTr="00F758E4">
        <w:tc>
          <w:tcPr>
            <w:tcW w:w="4928" w:type="dxa"/>
            <w:shd w:val="clear" w:color="auto" w:fill="auto"/>
          </w:tcPr>
          <w:p w14:paraId="2C1F92B2" w14:textId="2CBB30C3" w:rsidR="00F758E4" w:rsidRPr="007D1714" w:rsidRDefault="00F758E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BCSH Guidelines</w:t>
            </w:r>
          </w:p>
        </w:tc>
        <w:tc>
          <w:tcPr>
            <w:tcW w:w="4678" w:type="dxa"/>
            <w:shd w:val="clear" w:color="auto" w:fill="auto"/>
          </w:tcPr>
          <w:p w14:paraId="524B729B" w14:textId="2687C9FA" w:rsidR="00F758E4" w:rsidRPr="007D1714" w:rsidRDefault="00F758E4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Blood</w:t>
            </w:r>
          </w:p>
        </w:tc>
      </w:tr>
      <w:tr w:rsidR="00F758E4" w:rsidRPr="00C734F4" w14:paraId="70813C7E" w14:textId="77777777" w:rsidTr="00F758E4">
        <w:tc>
          <w:tcPr>
            <w:tcW w:w="4928" w:type="dxa"/>
            <w:shd w:val="clear" w:color="auto" w:fill="auto"/>
          </w:tcPr>
          <w:p w14:paraId="656533FE" w14:textId="4E57E6F5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Blood</w:t>
            </w:r>
            <w:r>
              <w:rPr>
                <w:rFonts w:asciiTheme="majorHAnsi" w:hAnsiTheme="majorHAnsi" w:cstheme="majorHAnsi"/>
                <w:iCs/>
                <w:color w:val="000000" w:themeColor="text1"/>
              </w:rPr>
              <w:t xml:space="preserve"> Reviews</w:t>
            </w:r>
          </w:p>
        </w:tc>
        <w:tc>
          <w:tcPr>
            <w:tcW w:w="4678" w:type="dxa"/>
            <w:shd w:val="clear" w:color="auto" w:fill="auto"/>
          </w:tcPr>
          <w:p w14:paraId="76889320" w14:textId="638FE971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Blood Stocks Management Scheme</w:t>
            </w:r>
          </w:p>
        </w:tc>
      </w:tr>
      <w:tr w:rsidR="00F758E4" w:rsidRPr="00C734F4" w14:paraId="769C23C4" w14:textId="77777777" w:rsidTr="00F758E4">
        <w:tc>
          <w:tcPr>
            <w:tcW w:w="4928" w:type="dxa"/>
            <w:shd w:val="clear" w:color="auto" w:fill="auto"/>
          </w:tcPr>
          <w:p w14:paraId="28FA9002" w14:textId="77777777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British Journal of Biomedical Science</w:t>
            </w:r>
          </w:p>
        </w:tc>
        <w:tc>
          <w:tcPr>
            <w:tcW w:w="4678" w:type="dxa"/>
            <w:shd w:val="clear" w:color="auto" w:fill="auto"/>
          </w:tcPr>
          <w:p w14:paraId="2F73554C" w14:textId="77777777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</w:tr>
      <w:tr w:rsidR="00F758E4" w:rsidRPr="00C734F4" w14:paraId="3CFE3856" w14:textId="77777777" w:rsidTr="00F758E4">
        <w:tc>
          <w:tcPr>
            <w:tcW w:w="4928" w:type="dxa"/>
            <w:shd w:val="clear" w:color="auto" w:fill="auto"/>
          </w:tcPr>
          <w:p w14:paraId="503F02AD" w14:textId="1DF6F47F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  <w:shd w:val="clear" w:color="auto" w:fill="auto"/>
          </w:tcPr>
          <w:p w14:paraId="1C567CCB" w14:textId="34FD5F39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Institute of Biomedical Science</w:t>
            </w:r>
          </w:p>
        </w:tc>
      </w:tr>
      <w:tr w:rsidR="00F758E4" w:rsidRPr="00C734F4" w14:paraId="05F9CA1E" w14:textId="77777777" w:rsidTr="00F758E4">
        <w:tc>
          <w:tcPr>
            <w:tcW w:w="4928" w:type="dxa"/>
            <w:shd w:val="clear" w:color="auto" w:fill="auto"/>
          </w:tcPr>
          <w:p w14:paraId="5F150A44" w14:textId="27DD8E09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D1714">
              <w:rPr>
                <w:rFonts w:asciiTheme="majorHAnsi" w:hAnsiTheme="majorHAnsi" w:cstheme="majorHAnsi"/>
                <w:iCs/>
                <w:color w:val="000000" w:themeColor="text1"/>
              </w:rPr>
              <w:t>Lancet</w:t>
            </w:r>
          </w:p>
        </w:tc>
        <w:tc>
          <w:tcPr>
            <w:tcW w:w="4678" w:type="dxa"/>
            <w:shd w:val="clear" w:color="auto" w:fill="auto"/>
          </w:tcPr>
          <w:p w14:paraId="4537BA7B" w14:textId="389B67A3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</w:rPr>
              <w:t>National Blood Service</w:t>
            </w:r>
          </w:p>
        </w:tc>
      </w:tr>
      <w:tr w:rsidR="00F758E4" w:rsidRPr="00C734F4" w14:paraId="3AF2BF33" w14:textId="77777777" w:rsidTr="00F758E4">
        <w:tc>
          <w:tcPr>
            <w:tcW w:w="4928" w:type="dxa"/>
            <w:shd w:val="clear" w:color="auto" w:fill="auto"/>
          </w:tcPr>
          <w:p w14:paraId="2426B2FB" w14:textId="79EC1011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szCs w:val="24"/>
              </w:rPr>
              <w:t>NHS Blood and Transplant (NHSBT)</w:t>
            </w:r>
          </w:p>
        </w:tc>
        <w:tc>
          <w:tcPr>
            <w:tcW w:w="4678" w:type="dxa"/>
            <w:shd w:val="clear" w:color="auto" w:fill="auto"/>
          </w:tcPr>
          <w:p w14:paraId="7BAD1B06" w14:textId="783708B1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</w:rPr>
            </w:pPr>
            <w:r w:rsidRPr="007D1714">
              <w:rPr>
                <w:rFonts w:asciiTheme="majorHAnsi" w:hAnsiTheme="majorHAnsi" w:cstheme="majorHAnsi"/>
              </w:rPr>
              <w:t>Royal College of Pathologists</w:t>
            </w:r>
          </w:p>
        </w:tc>
      </w:tr>
      <w:tr w:rsidR="00F758E4" w:rsidRPr="00C734F4" w14:paraId="75A17A85" w14:textId="77777777" w:rsidTr="00F758E4">
        <w:tc>
          <w:tcPr>
            <w:tcW w:w="4928" w:type="dxa"/>
            <w:shd w:val="clear" w:color="auto" w:fill="auto"/>
          </w:tcPr>
          <w:p w14:paraId="373148BA" w14:textId="19600BD2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szCs w:val="24"/>
              </w:rPr>
            </w:pPr>
            <w:r w:rsidRPr="007D1714">
              <w:rPr>
                <w:rFonts w:asciiTheme="majorHAnsi" w:hAnsiTheme="majorHAnsi" w:cstheme="majorHAnsi"/>
                <w:szCs w:val="24"/>
              </w:rPr>
              <w:t>Serious Hazards of Transfusion (SHOT)</w:t>
            </w:r>
          </w:p>
        </w:tc>
        <w:tc>
          <w:tcPr>
            <w:tcW w:w="4678" w:type="dxa"/>
            <w:shd w:val="clear" w:color="auto" w:fill="auto"/>
          </w:tcPr>
          <w:p w14:paraId="78BFEAD9" w14:textId="52CE95AA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Biomedical Scientist</w:t>
            </w:r>
          </w:p>
        </w:tc>
      </w:tr>
      <w:tr w:rsidR="00F758E4" w:rsidRPr="00C734F4" w14:paraId="38F093D0" w14:textId="77777777" w:rsidTr="00F758E4">
        <w:tc>
          <w:tcPr>
            <w:tcW w:w="4928" w:type="dxa"/>
            <w:shd w:val="clear" w:color="auto" w:fill="auto"/>
          </w:tcPr>
          <w:p w14:paraId="5ACB94AC" w14:textId="51D5D7B1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D1714">
              <w:rPr>
                <w:rFonts w:asciiTheme="majorHAnsi" w:hAnsiTheme="majorHAnsi" w:cstheme="majorHAnsi"/>
                <w:bCs/>
              </w:rPr>
              <w:t>Transfusion</w:t>
            </w:r>
          </w:p>
        </w:tc>
        <w:tc>
          <w:tcPr>
            <w:tcW w:w="4678" w:type="dxa"/>
            <w:shd w:val="clear" w:color="auto" w:fill="auto"/>
          </w:tcPr>
          <w:p w14:paraId="4F137807" w14:textId="1E3F9082" w:rsidR="00F758E4" w:rsidRPr="007D1714" w:rsidRDefault="00F758E4" w:rsidP="00F758E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D1714">
              <w:rPr>
                <w:rFonts w:asciiTheme="majorHAnsi" w:hAnsiTheme="majorHAnsi" w:cstheme="majorHAnsi"/>
                <w:bCs/>
              </w:rPr>
              <w:t>Transfusion Medicine</w:t>
            </w:r>
            <w:r>
              <w:rPr>
                <w:rFonts w:asciiTheme="majorHAnsi" w:hAnsiTheme="majorHAnsi" w:cstheme="majorHAnsi"/>
                <w:bCs/>
              </w:rPr>
              <w:t xml:space="preserve"> Reviews</w:t>
            </w:r>
          </w:p>
        </w:tc>
      </w:tr>
      <w:tr w:rsidR="00F758E4" w:rsidRPr="00C734F4" w14:paraId="330A2630" w14:textId="77777777" w:rsidTr="00F758E4">
        <w:tc>
          <w:tcPr>
            <w:tcW w:w="4928" w:type="dxa"/>
            <w:shd w:val="clear" w:color="auto" w:fill="auto"/>
          </w:tcPr>
          <w:p w14:paraId="22121426" w14:textId="3EC00DD1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</w:rPr>
            </w:pPr>
            <w:r w:rsidRPr="007D1714">
              <w:rPr>
                <w:rFonts w:asciiTheme="majorHAnsi" w:hAnsiTheme="majorHAnsi" w:cstheme="majorHAnsi"/>
                <w:szCs w:val="24"/>
              </w:rPr>
              <w:t>UKNEQAS</w:t>
            </w:r>
          </w:p>
        </w:tc>
        <w:tc>
          <w:tcPr>
            <w:tcW w:w="4678" w:type="dxa"/>
            <w:shd w:val="clear" w:color="auto" w:fill="auto"/>
          </w:tcPr>
          <w:p w14:paraId="2A9BB8B8" w14:textId="7529A243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</w:rPr>
            </w:pPr>
            <w:r w:rsidRPr="007D1714">
              <w:rPr>
                <w:rFonts w:asciiTheme="majorHAnsi" w:hAnsiTheme="majorHAnsi" w:cstheme="majorHAnsi"/>
              </w:rPr>
              <w:t>UK Transfusion Services Guidelines</w:t>
            </w:r>
          </w:p>
        </w:tc>
      </w:tr>
      <w:tr w:rsidR="00F758E4" w:rsidRPr="00C734F4" w14:paraId="47A3DD82" w14:textId="77777777" w:rsidTr="00F758E4">
        <w:tc>
          <w:tcPr>
            <w:tcW w:w="4928" w:type="dxa"/>
            <w:shd w:val="clear" w:color="auto" w:fill="auto"/>
          </w:tcPr>
          <w:p w14:paraId="0063624A" w14:textId="17A38E94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D1714">
              <w:rPr>
                <w:rFonts w:asciiTheme="majorHAnsi" w:hAnsiTheme="majorHAnsi" w:cstheme="majorHAnsi"/>
                <w:bCs/>
              </w:rPr>
              <w:t>V</w:t>
            </w:r>
            <w:r w:rsidR="00607E2F">
              <w:rPr>
                <w:rFonts w:asciiTheme="majorHAnsi" w:hAnsiTheme="majorHAnsi" w:cstheme="majorHAnsi"/>
                <w:bCs/>
              </w:rPr>
              <w:t>o</w:t>
            </w:r>
            <w:r w:rsidRPr="007D1714">
              <w:rPr>
                <w:rFonts w:asciiTheme="majorHAnsi" w:hAnsiTheme="majorHAnsi" w:cstheme="majorHAnsi"/>
                <w:bCs/>
              </w:rPr>
              <w:t>x Sanguinis</w:t>
            </w:r>
          </w:p>
        </w:tc>
        <w:tc>
          <w:tcPr>
            <w:tcW w:w="4678" w:type="dxa"/>
            <w:shd w:val="clear" w:color="auto" w:fill="auto"/>
          </w:tcPr>
          <w:p w14:paraId="7FBE6E8C" w14:textId="7F685B19" w:rsidR="00F758E4" w:rsidRPr="007D1714" w:rsidRDefault="00F758E4" w:rsidP="00F758E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</w:p>
        </w:tc>
      </w:tr>
      <w:bookmarkEnd w:id="2"/>
    </w:tbl>
    <w:p w14:paraId="66C5C9FF" w14:textId="77777777" w:rsidR="00F758E4" w:rsidRDefault="00F758E4" w:rsidP="00BB72E4">
      <w:pPr>
        <w:rPr>
          <w:b/>
          <w:color w:val="000000" w:themeColor="text1"/>
          <w:kern w:val="32"/>
          <w:sz w:val="32"/>
          <w:szCs w:val="32"/>
        </w:rPr>
      </w:pPr>
    </w:p>
    <w:sectPr w:rsidR="00F758E4" w:rsidSect="001E656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A03AA" w14:textId="77777777" w:rsidR="00252E5A" w:rsidRDefault="00252E5A" w:rsidP="002A2495">
      <w:r>
        <w:separator/>
      </w:r>
    </w:p>
  </w:endnote>
  <w:endnote w:type="continuationSeparator" w:id="0">
    <w:p w14:paraId="139D32D4" w14:textId="77777777" w:rsidR="00252E5A" w:rsidRDefault="00252E5A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E109" w14:textId="77777777" w:rsidR="00252E5A" w:rsidRDefault="00252E5A" w:rsidP="002A2495">
      <w:r>
        <w:separator/>
      </w:r>
    </w:p>
  </w:footnote>
  <w:footnote w:type="continuationSeparator" w:id="0">
    <w:p w14:paraId="24017649" w14:textId="77777777" w:rsidR="00252E5A" w:rsidRDefault="00252E5A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C1544"/>
    <w:rsid w:val="000F3213"/>
    <w:rsid w:val="00106CD3"/>
    <w:rsid w:val="00107F49"/>
    <w:rsid w:val="00111C74"/>
    <w:rsid w:val="00136155"/>
    <w:rsid w:val="00143530"/>
    <w:rsid w:val="00156771"/>
    <w:rsid w:val="001610C9"/>
    <w:rsid w:val="00162A4E"/>
    <w:rsid w:val="00165CE2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52E5A"/>
    <w:rsid w:val="00281748"/>
    <w:rsid w:val="0028526D"/>
    <w:rsid w:val="002A2495"/>
    <w:rsid w:val="002A3AF5"/>
    <w:rsid w:val="002A43DD"/>
    <w:rsid w:val="002B0D40"/>
    <w:rsid w:val="002D4444"/>
    <w:rsid w:val="002F3BC8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771E7"/>
    <w:rsid w:val="00383231"/>
    <w:rsid w:val="00393C3F"/>
    <w:rsid w:val="003B0B18"/>
    <w:rsid w:val="003B4BFD"/>
    <w:rsid w:val="003C3518"/>
    <w:rsid w:val="003C5B29"/>
    <w:rsid w:val="003D0938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C7D9E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64E63"/>
    <w:rsid w:val="00691FA7"/>
    <w:rsid w:val="006C4E6F"/>
    <w:rsid w:val="0071029F"/>
    <w:rsid w:val="00716DE9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2AFC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C1799"/>
    <w:rsid w:val="009C4FFA"/>
    <w:rsid w:val="009C73DF"/>
    <w:rsid w:val="00A27450"/>
    <w:rsid w:val="00A428F6"/>
    <w:rsid w:val="00A667A4"/>
    <w:rsid w:val="00A77F11"/>
    <w:rsid w:val="00A87778"/>
    <w:rsid w:val="00AB250B"/>
    <w:rsid w:val="00AB4E77"/>
    <w:rsid w:val="00AC3686"/>
    <w:rsid w:val="00AD4CF8"/>
    <w:rsid w:val="00AE5356"/>
    <w:rsid w:val="00B1155A"/>
    <w:rsid w:val="00B81A2F"/>
    <w:rsid w:val="00B8372B"/>
    <w:rsid w:val="00B842FE"/>
    <w:rsid w:val="00B97F35"/>
    <w:rsid w:val="00BA3B29"/>
    <w:rsid w:val="00BB306C"/>
    <w:rsid w:val="00BB72E4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0396"/>
    <w:rsid w:val="00CC5CD6"/>
    <w:rsid w:val="00CC645F"/>
    <w:rsid w:val="00CD4977"/>
    <w:rsid w:val="00CF206F"/>
    <w:rsid w:val="00D10564"/>
    <w:rsid w:val="00D44221"/>
    <w:rsid w:val="00D46A53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4287E"/>
    <w:rsid w:val="00E7213F"/>
    <w:rsid w:val="00E80BA5"/>
    <w:rsid w:val="00E92BD6"/>
    <w:rsid w:val="00E97872"/>
    <w:rsid w:val="00ED7394"/>
    <w:rsid w:val="00EF1F63"/>
    <w:rsid w:val="00F00AD4"/>
    <w:rsid w:val="00F30795"/>
    <w:rsid w:val="00F4176A"/>
    <w:rsid w:val="00F72F3A"/>
    <w:rsid w:val="00F758E4"/>
    <w:rsid w:val="00F76CB0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qm.eu/en/blood-transfusion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61</cp:revision>
  <cp:lastPrinted>2020-01-27T13:01:00Z</cp:lastPrinted>
  <dcterms:created xsi:type="dcterms:W3CDTF">2018-12-23T19:32:00Z</dcterms:created>
  <dcterms:modified xsi:type="dcterms:W3CDTF">2025-01-07T09:46:00Z</dcterms:modified>
</cp:coreProperties>
</file>