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33C7" w14:textId="5D29891F" w:rsidR="00AC52AF" w:rsidRDefault="006968F3" w:rsidP="006968F3">
      <w:pPr>
        <w:spacing w:after="200" w:line="276" w:lineRule="auto"/>
        <w:jc w:val="center"/>
        <w:rPr>
          <w:b/>
          <w:sz w:val="28"/>
          <w:szCs w:val="28"/>
        </w:rPr>
      </w:pPr>
      <w:r w:rsidRPr="00A107CB">
        <w:rPr>
          <w:noProof/>
        </w:rPr>
        <w:drawing>
          <wp:inline distT="0" distB="0" distL="0" distR="0" wp14:anchorId="6FBA7D0F" wp14:editId="35D2D4C1">
            <wp:extent cx="1933575" cy="1532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27" cy="1541357"/>
                    </a:xfrm>
                    <a:prstGeom prst="rect">
                      <a:avLst/>
                    </a:prstGeom>
                    <a:noFill/>
                    <a:ln>
                      <a:noFill/>
                    </a:ln>
                  </pic:spPr>
                </pic:pic>
              </a:graphicData>
            </a:graphic>
          </wp:inline>
        </w:drawing>
      </w:r>
    </w:p>
    <w:p w14:paraId="444A1995" w14:textId="734B18F8"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w:t>
      </w:r>
      <w:r w:rsidR="00867B97">
        <w:rPr>
          <w:rFonts w:asciiTheme="majorHAnsi" w:hAnsiTheme="majorHAnsi" w:cs="Arial"/>
          <w:b/>
          <w:color w:val="000000"/>
          <w:sz w:val="28"/>
          <w:szCs w:val="28"/>
          <w:lang w:val="en-US"/>
        </w:rPr>
        <w:t>5</w:t>
      </w:r>
    </w:p>
    <w:p w14:paraId="69C43D1F" w14:textId="77777777" w:rsidR="00AC52AF" w:rsidRPr="00EB1526" w:rsidRDefault="00AC52AF" w:rsidP="00AC52AF">
      <w:pPr>
        <w:autoSpaceDE w:val="0"/>
        <w:autoSpaceDN w:val="0"/>
        <w:adjustRightInd w:val="0"/>
        <w:rPr>
          <w:rFonts w:asciiTheme="majorHAnsi" w:hAnsiTheme="majorHAnsi" w:cs="Arial"/>
          <w:b/>
          <w:color w:val="000000"/>
          <w:szCs w:val="28"/>
          <w:lang w:val="en-US"/>
        </w:rPr>
      </w:pPr>
    </w:p>
    <w:p w14:paraId="7BF1F61E" w14:textId="4081919C" w:rsidR="00AC52AF" w:rsidRPr="00D41EC6" w:rsidRDefault="00AC52AF" w:rsidP="00AC52AF">
      <w:pPr>
        <w:autoSpaceDE w:val="0"/>
        <w:autoSpaceDN w:val="0"/>
        <w:adjustRightInd w:val="0"/>
        <w:rPr>
          <w:rFonts w:asciiTheme="majorHAnsi" w:hAnsiTheme="majorHAnsi" w:cs="Arial"/>
          <w:b/>
          <w:color w:val="000000"/>
          <w:lang w:val="en-US"/>
        </w:rPr>
      </w:pPr>
      <w:r w:rsidRPr="00D41EC6">
        <w:rPr>
          <w:rFonts w:asciiTheme="majorHAnsi" w:hAnsiTheme="majorHAnsi" w:cs="Arial"/>
          <w:b/>
          <w:color w:val="000000"/>
          <w:lang w:val="en-US"/>
        </w:rPr>
        <w:t>Regulations</w:t>
      </w:r>
    </w:p>
    <w:p w14:paraId="53FA7E1D" w14:textId="496C8A2D" w:rsidR="00B355F5" w:rsidRPr="00D41EC6" w:rsidRDefault="00AC52AF" w:rsidP="00890150">
      <w:pPr>
        <w:numPr>
          <w:ilvl w:val="0"/>
          <w:numId w:val="1"/>
        </w:numPr>
        <w:autoSpaceDE w:val="0"/>
        <w:autoSpaceDN w:val="0"/>
        <w:adjustRightInd w:val="0"/>
        <w:rPr>
          <w:color w:val="000000"/>
          <w:sz w:val="22"/>
          <w:szCs w:val="16"/>
          <w:lang w:val="en-US"/>
        </w:rPr>
      </w:pPr>
      <w:r w:rsidRPr="00D41EC6">
        <w:rPr>
          <w:color w:val="000000"/>
          <w:sz w:val="22"/>
          <w:szCs w:val="16"/>
          <w:lang w:val="en-US"/>
        </w:rPr>
        <w:t>Two essays must be included in the portfolio as evidence of experiential learning.</w:t>
      </w:r>
      <w:r w:rsidR="008B49AE" w:rsidRPr="00D41EC6">
        <w:rPr>
          <w:color w:val="000000"/>
          <w:sz w:val="22"/>
          <w:szCs w:val="16"/>
          <w:lang w:val="en-US"/>
        </w:rPr>
        <w:t xml:space="preserve"> </w:t>
      </w:r>
      <w:r w:rsidR="006968F3" w:rsidRPr="00D41EC6">
        <w:rPr>
          <w:color w:val="000000"/>
          <w:sz w:val="22"/>
          <w:szCs w:val="16"/>
          <w:lang w:val="en-US"/>
        </w:rPr>
        <w:t>If</w:t>
      </w:r>
      <w:r w:rsidR="007B30AD" w:rsidRPr="00D41EC6">
        <w:rPr>
          <w:color w:val="000000"/>
          <w:sz w:val="22"/>
          <w:szCs w:val="16"/>
          <w:lang w:val="en-US"/>
        </w:rPr>
        <w:t>,</w:t>
      </w:r>
      <w:r w:rsidR="006968F3" w:rsidRPr="00D41EC6">
        <w:rPr>
          <w:color w:val="000000"/>
          <w:sz w:val="22"/>
          <w:szCs w:val="16"/>
          <w:lang w:val="en-US"/>
        </w:rPr>
        <w:t xml:space="preserve"> when you applied to undertake the HSD, you indicated you wanted to submit in 202</w:t>
      </w:r>
      <w:r w:rsidR="00867B97" w:rsidRPr="00D41EC6">
        <w:rPr>
          <w:color w:val="000000"/>
          <w:sz w:val="22"/>
          <w:szCs w:val="16"/>
          <w:lang w:val="en-US"/>
        </w:rPr>
        <w:t xml:space="preserve">5 </w:t>
      </w:r>
      <w:r w:rsidR="006968F3" w:rsidRPr="00D41EC6">
        <w:rPr>
          <w:color w:val="000000"/>
          <w:sz w:val="22"/>
          <w:szCs w:val="16"/>
          <w:lang w:val="en-US"/>
        </w:rPr>
        <w:t>you must</w:t>
      </w:r>
      <w:r w:rsidR="008B49AE" w:rsidRPr="00D41EC6">
        <w:rPr>
          <w:color w:val="000000"/>
          <w:sz w:val="22"/>
          <w:szCs w:val="16"/>
          <w:lang w:val="en-US"/>
        </w:rPr>
        <w:t xml:space="preserve"> choose any two essay titles from either the 202</w:t>
      </w:r>
      <w:r w:rsidR="00867B97" w:rsidRPr="00D41EC6">
        <w:rPr>
          <w:color w:val="000000"/>
          <w:sz w:val="22"/>
          <w:szCs w:val="16"/>
          <w:lang w:val="en-US"/>
        </w:rPr>
        <w:t>4</w:t>
      </w:r>
      <w:r w:rsidR="008B49AE" w:rsidRPr="00D41EC6">
        <w:rPr>
          <w:color w:val="000000"/>
          <w:sz w:val="22"/>
          <w:szCs w:val="16"/>
          <w:lang w:val="en-US"/>
        </w:rPr>
        <w:t xml:space="preserve"> </w:t>
      </w:r>
      <w:r w:rsidR="00C04A56" w:rsidRPr="00D41EC6">
        <w:rPr>
          <w:color w:val="000000"/>
          <w:sz w:val="22"/>
          <w:szCs w:val="16"/>
          <w:lang w:val="en-US"/>
        </w:rPr>
        <w:t xml:space="preserve">or </w:t>
      </w:r>
      <w:r w:rsidR="008B49AE" w:rsidRPr="00D41EC6">
        <w:rPr>
          <w:color w:val="000000"/>
          <w:sz w:val="22"/>
          <w:szCs w:val="16"/>
          <w:lang w:val="en-US"/>
        </w:rPr>
        <w:t>202</w:t>
      </w:r>
      <w:r w:rsidR="00867B97" w:rsidRPr="00D41EC6">
        <w:rPr>
          <w:color w:val="000000"/>
          <w:sz w:val="22"/>
          <w:szCs w:val="16"/>
          <w:lang w:val="en-US"/>
        </w:rPr>
        <w:t>5</w:t>
      </w:r>
      <w:r w:rsidR="00895BB2" w:rsidRPr="00D41EC6">
        <w:rPr>
          <w:color w:val="000000"/>
          <w:sz w:val="22"/>
          <w:szCs w:val="16"/>
          <w:lang w:val="en-US"/>
        </w:rPr>
        <w:t xml:space="preserve"> </w:t>
      </w:r>
      <w:r w:rsidR="008B49AE" w:rsidRPr="00D41EC6">
        <w:rPr>
          <w:color w:val="000000"/>
          <w:sz w:val="22"/>
          <w:szCs w:val="16"/>
          <w:lang w:val="en-US"/>
        </w:rPr>
        <w:t>list of essay titles.</w:t>
      </w:r>
      <w:r w:rsidR="00F65E9F">
        <w:rPr>
          <w:color w:val="000000"/>
          <w:sz w:val="22"/>
          <w:szCs w:val="16"/>
          <w:lang w:val="en-US"/>
        </w:rPr>
        <w:t xml:space="preserve"> Both essays could come from the 2024 list or from the 205 list or you can do one essay from each list.</w:t>
      </w:r>
      <w:r w:rsidR="00E63730" w:rsidRPr="00D41EC6">
        <w:rPr>
          <w:color w:val="000000"/>
          <w:sz w:val="22"/>
          <w:szCs w:val="16"/>
          <w:lang w:val="en-US"/>
        </w:rPr>
        <w:t xml:space="preserve"> If you had initially aimed to submit</w:t>
      </w:r>
      <w:r w:rsidR="006968F3" w:rsidRPr="00D41EC6">
        <w:rPr>
          <w:color w:val="000000"/>
          <w:sz w:val="22"/>
          <w:szCs w:val="16"/>
          <w:lang w:val="en-US"/>
        </w:rPr>
        <w:t xml:space="preserve"> in 202</w:t>
      </w:r>
      <w:r w:rsidR="00867B97" w:rsidRPr="00D41EC6">
        <w:rPr>
          <w:color w:val="000000"/>
          <w:sz w:val="22"/>
          <w:szCs w:val="16"/>
          <w:lang w:val="en-US"/>
        </w:rPr>
        <w:t>4</w:t>
      </w:r>
      <w:r w:rsidR="00E63730" w:rsidRPr="00D41EC6">
        <w:rPr>
          <w:color w:val="000000"/>
          <w:sz w:val="22"/>
          <w:szCs w:val="16"/>
          <w:lang w:val="en-US"/>
        </w:rPr>
        <w:t xml:space="preserve"> but</w:t>
      </w:r>
      <w:r w:rsidR="006968F3" w:rsidRPr="00D41EC6">
        <w:rPr>
          <w:color w:val="000000"/>
          <w:sz w:val="22"/>
          <w:szCs w:val="16"/>
          <w:lang w:val="en-US"/>
        </w:rPr>
        <w:t xml:space="preserve"> have</w:t>
      </w:r>
      <w:r w:rsidR="00E63730" w:rsidRPr="00D41EC6">
        <w:rPr>
          <w:color w:val="000000"/>
          <w:sz w:val="22"/>
          <w:szCs w:val="16"/>
          <w:lang w:val="en-US"/>
        </w:rPr>
        <w:t xml:space="preserve"> had to defer one essay title can come from the </w:t>
      </w:r>
      <w:r w:rsidR="00867B97" w:rsidRPr="00D41EC6">
        <w:rPr>
          <w:color w:val="000000"/>
          <w:sz w:val="22"/>
          <w:szCs w:val="16"/>
          <w:lang w:val="en-US"/>
        </w:rPr>
        <w:t>2023</w:t>
      </w:r>
      <w:r w:rsidR="00E63730" w:rsidRPr="00D41EC6">
        <w:rPr>
          <w:color w:val="000000"/>
          <w:sz w:val="22"/>
          <w:szCs w:val="16"/>
          <w:lang w:val="en-US"/>
        </w:rPr>
        <w:t xml:space="preserve"> list</w:t>
      </w:r>
      <w:r w:rsidR="00101799" w:rsidRPr="00D41EC6">
        <w:rPr>
          <w:color w:val="000000"/>
          <w:sz w:val="22"/>
          <w:szCs w:val="16"/>
          <w:lang w:val="en-US"/>
        </w:rPr>
        <w:t xml:space="preserve"> but the other essay must come from either the 202</w:t>
      </w:r>
      <w:r w:rsidR="00867B97" w:rsidRPr="00D41EC6">
        <w:rPr>
          <w:color w:val="000000"/>
          <w:sz w:val="22"/>
          <w:szCs w:val="16"/>
          <w:lang w:val="en-US"/>
        </w:rPr>
        <w:t>4</w:t>
      </w:r>
      <w:r w:rsidR="00101799" w:rsidRPr="00D41EC6">
        <w:rPr>
          <w:color w:val="000000"/>
          <w:sz w:val="22"/>
          <w:szCs w:val="16"/>
          <w:lang w:val="en-US"/>
        </w:rPr>
        <w:t xml:space="preserve"> or 202</w:t>
      </w:r>
      <w:r w:rsidR="00867B97" w:rsidRPr="00D41EC6">
        <w:rPr>
          <w:color w:val="000000"/>
          <w:sz w:val="22"/>
          <w:szCs w:val="16"/>
          <w:lang w:val="en-US"/>
        </w:rPr>
        <w:t>5</w:t>
      </w:r>
      <w:r w:rsidR="00101799" w:rsidRPr="00D41EC6">
        <w:rPr>
          <w:color w:val="000000"/>
          <w:sz w:val="22"/>
          <w:szCs w:val="16"/>
          <w:lang w:val="en-US"/>
        </w:rPr>
        <w:t>list.</w:t>
      </w:r>
    </w:p>
    <w:p w14:paraId="762701D9" w14:textId="77777777" w:rsidR="00AC52AF" w:rsidRPr="00D41EC6" w:rsidRDefault="00AC52AF" w:rsidP="00AC52AF">
      <w:pPr>
        <w:autoSpaceDE w:val="0"/>
        <w:autoSpaceDN w:val="0"/>
        <w:adjustRightInd w:val="0"/>
        <w:rPr>
          <w:rFonts w:asciiTheme="majorHAnsi" w:hAnsiTheme="majorHAnsi"/>
          <w:color w:val="000000"/>
          <w:sz w:val="22"/>
          <w:szCs w:val="16"/>
          <w:lang w:val="en-US"/>
        </w:rPr>
      </w:pPr>
    </w:p>
    <w:p w14:paraId="5CA6943E" w14:textId="612B1E1B" w:rsidR="00942021" w:rsidRPr="00D41EC6" w:rsidRDefault="00AC52AF" w:rsidP="00890150">
      <w:pPr>
        <w:numPr>
          <w:ilvl w:val="0"/>
          <w:numId w:val="1"/>
        </w:numPr>
        <w:autoSpaceDE w:val="0"/>
        <w:autoSpaceDN w:val="0"/>
        <w:adjustRightInd w:val="0"/>
        <w:rPr>
          <w:rFonts w:asciiTheme="majorHAnsi" w:hAnsiTheme="majorHAnsi"/>
          <w:color w:val="000000"/>
          <w:sz w:val="22"/>
          <w:szCs w:val="16"/>
          <w:lang w:val="en-US"/>
        </w:rPr>
      </w:pPr>
      <w:r w:rsidRPr="00D41EC6">
        <w:rPr>
          <w:rFonts w:asciiTheme="majorHAnsi" w:hAnsiTheme="majorHAnsi"/>
          <w:color w:val="000000"/>
          <w:sz w:val="22"/>
          <w:szCs w:val="16"/>
          <w:lang w:val="en-US"/>
        </w:rPr>
        <w:t>Essays should be 3000 words (±10%)</w:t>
      </w:r>
      <w:r w:rsidR="00942021" w:rsidRPr="00D41EC6">
        <w:rPr>
          <w:rFonts w:asciiTheme="majorHAnsi" w:hAnsiTheme="majorHAnsi"/>
          <w:color w:val="000000"/>
          <w:sz w:val="22"/>
          <w:szCs w:val="16"/>
          <w:lang w:val="en-US"/>
        </w:rPr>
        <w:t>.</w:t>
      </w:r>
      <w:r w:rsidR="006968F3" w:rsidRPr="00D41EC6">
        <w:rPr>
          <w:rFonts w:asciiTheme="majorHAnsi" w:hAnsiTheme="majorHAnsi"/>
          <w:color w:val="000000"/>
          <w:sz w:val="22"/>
          <w:szCs w:val="16"/>
          <w:lang w:val="en-US"/>
        </w:rPr>
        <w:t xml:space="preserve"> Figures, tables and their respective legends and the reference list are </w:t>
      </w:r>
      <w:r w:rsidR="006968F3" w:rsidRPr="00D41EC6">
        <w:rPr>
          <w:rFonts w:asciiTheme="majorHAnsi" w:hAnsiTheme="majorHAnsi"/>
          <w:b/>
          <w:bCs/>
          <w:color w:val="000000"/>
          <w:sz w:val="22"/>
          <w:szCs w:val="16"/>
          <w:u w:val="single"/>
          <w:lang w:val="en-US"/>
        </w:rPr>
        <w:t>not</w:t>
      </w:r>
      <w:r w:rsidR="006968F3" w:rsidRPr="00D41EC6">
        <w:rPr>
          <w:rFonts w:asciiTheme="majorHAnsi" w:hAnsiTheme="majorHAnsi"/>
          <w:color w:val="000000"/>
          <w:sz w:val="22"/>
          <w:szCs w:val="16"/>
          <w:lang w:val="en-US"/>
        </w:rPr>
        <w:t xml:space="preserve"> included in the word count of the essay</w:t>
      </w:r>
      <w:r w:rsidR="00105A54" w:rsidRPr="00D41EC6">
        <w:rPr>
          <w:rFonts w:asciiTheme="majorHAnsi" w:hAnsiTheme="majorHAnsi"/>
          <w:color w:val="000000"/>
          <w:sz w:val="22"/>
          <w:szCs w:val="16"/>
          <w:lang w:val="en-US"/>
        </w:rPr>
        <w:t>.</w:t>
      </w:r>
    </w:p>
    <w:p w14:paraId="7D920728" w14:textId="77777777" w:rsidR="00942021" w:rsidRPr="00D41EC6" w:rsidRDefault="00942021" w:rsidP="00942021">
      <w:pPr>
        <w:pStyle w:val="ListParagraph"/>
        <w:rPr>
          <w:rFonts w:asciiTheme="majorHAnsi" w:hAnsiTheme="majorHAnsi"/>
          <w:color w:val="000000"/>
          <w:sz w:val="22"/>
          <w:szCs w:val="16"/>
          <w:lang w:val="en-US"/>
        </w:rPr>
      </w:pPr>
    </w:p>
    <w:p w14:paraId="0419CE3B" w14:textId="27D952A6" w:rsidR="00046815" w:rsidRPr="00D41EC6" w:rsidRDefault="00942021" w:rsidP="00890150">
      <w:pPr>
        <w:numPr>
          <w:ilvl w:val="0"/>
          <w:numId w:val="1"/>
        </w:numPr>
        <w:autoSpaceDE w:val="0"/>
        <w:autoSpaceDN w:val="0"/>
        <w:adjustRightInd w:val="0"/>
        <w:ind w:left="357" w:hanging="357"/>
        <w:rPr>
          <w:rFonts w:asciiTheme="majorHAnsi" w:hAnsiTheme="majorHAnsi"/>
          <w:sz w:val="22"/>
          <w:szCs w:val="22"/>
        </w:rPr>
      </w:pPr>
      <w:r w:rsidRPr="00D41EC6">
        <w:rPr>
          <w:rFonts w:asciiTheme="majorHAnsi" w:hAnsiTheme="majorHAnsi"/>
          <w:sz w:val="22"/>
          <w:szCs w:val="22"/>
        </w:rPr>
        <w:t xml:space="preserve">Candidates </w:t>
      </w:r>
      <w:r w:rsidR="006968F3" w:rsidRPr="00D41EC6">
        <w:rPr>
          <w:rFonts w:asciiTheme="majorHAnsi" w:hAnsiTheme="majorHAnsi"/>
          <w:sz w:val="22"/>
          <w:szCs w:val="22"/>
        </w:rPr>
        <w:t>must</w:t>
      </w:r>
      <w:r w:rsidRPr="00D41EC6">
        <w:rPr>
          <w:rFonts w:asciiTheme="majorHAnsi" w:hAnsiTheme="majorHAnsi"/>
          <w:sz w:val="22"/>
          <w:szCs w:val="22"/>
        </w:rPr>
        <w:t xml:space="preserve"> use appropriate material from various sources within </w:t>
      </w:r>
      <w:r w:rsidR="006968F3" w:rsidRPr="00D41EC6">
        <w:rPr>
          <w:rFonts w:asciiTheme="majorHAnsi" w:hAnsiTheme="majorHAnsi"/>
          <w:sz w:val="22"/>
          <w:szCs w:val="22"/>
        </w:rPr>
        <w:t>both essays</w:t>
      </w:r>
      <w:r w:rsidRPr="00D41EC6">
        <w:rPr>
          <w:rFonts w:asciiTheme="majorHAnsi" w:hAnsiTheme="majorHAnsi"/>
          <w:sz w:val="22"/>
          <w:szCs w:val="22"/>
        </w:rPr>
        <w:t xml:space="preserve"> </w:t>
      </w:r>
      <w:r w:rsidRPr="00D41EC6">
        <w:rPr>
          <w:rFonts w:asciiTheme="majorHAnsi" w:hAnsiTheme="majorHAnsi"/>
          <w:color w:val="000000"/>
          <w:sz w:val="22"/>
          <w:szCs w:val="16"/>
          <w:lang w:val="en-US"/>
        </w:rPr>
        <w:t xml:space="preserve">and these must be referenced in either the Harvard </w:t>
      </w:r>
      <w:r w:rsidRPr="00D41EC6">
        <w:rPr>
          <w:rFonts w:asciiTheme="majorHAnsi" w:hAnsiTheme="majorHAnsi"/>
          <w:b/>
          <w:bCs/>
          <w:color w:val="000000"/>
          <w:sz w:val="22"/>
          <w:szCs w:val="16"/>
          <w:u w:val="single"/>
          <w:lang w:val="en-US"/>
        </w:rPr>
        <w:t>or</w:t>
      </w:r>
      <w:r w:rsidRPr="00D41EC6">
        <w:rPr>
          <w:rFonts w:asciiTheme="majorHAnsi" w:hAnsiTheme="majorHAnsi"/>
          <w:color w:val="000000"/>
          <w:sz w:val="22"/>
          <w:szCs w:val="16"/>
          <w:lang w:val="en-US"/>
        </w:rPr>
        <w:t xml:space="preserve"> Vancouver format.</w:t>
      </w:r>
      <w:r w:rsidR="00046815" w:rsidRPr="00D41EC6">
        <w:rPr>
          <w:rFonts w:asciiTheme="majorHAnsi" w:hAnsiTheme="majorHAnsi"/>
          <w:color w:val="000000"/>
          <w:sz w:val="22"/>
          <w:szCs w:val="16"/>
          <w:lang w:val="en-US"/>
        </w:rPr>
        <w:t xml:space="preserve"> Guidance on how to reference in either format can be found on the IBMS website</w:t>
      </w:r>
      <w:r w:rsidR="00D41EC6" w:rsidRPr="00D41EC6">
        <w:rPr>
          <w:rFonts w:asciiTheme="majorHAnsi" w:hAnsiTheme="majorHAnsi"/>
          <w:color w:val="000000"/>
          <w:sz w:val="22"/>
          <w:szCs w:val="16"/>
          <w:lang w:val="en-US"/>
        </w:rPr>
        <w:t xml:space="preserve"> </w:t>
      </w:r>
      <w:hyperlink r:id="rId9" w:history="1">
        <w:r w:rsidR="00D41EC6" w:rsidRPr="00D41EC6">
          <w:rPr>
            <w:rStyle w:val="Hyperlink"/>
            <w:rFonts w:asciiTheme="majorHAnsi" w:hAnsiTheme="majorHAnsi"/>
            <w:sz w:val="22"/>
            <w:szCs w:val="16"/>
            <w:lang w:val="en-US"/>
          </w:rPr>
          <w:t>here.</w:t>
        </w:r>
      </w:hyperlink>
    </w:p>
    <w:p w14:paraId="0CF43689" w14:textId="77777777" w:rsidR="00AC52AF" w:rsidRPr="00D41EC6" w:rsidRDefault="00AC52AF" w:rsidP="00AC52AF">
      <w:pPr>
        <w:autoSpaceDE w:val="0"/>
        <w:autoSpaceDN w:val="0"/>
        <w:adjustRightInd w:val="0"/>
        <w:rPr>
          <w:rFonts w:asciiTheme="majorHAnsi" w:hAnsiTheme="majorHAnsi"/>
          <w:color w:val="000000"/>
          <w:sz w:val="22"/>
          <w:szCs w:val="16"/>
          <w:lang w:val="en-US"/>
        </w:rPr>
      </w:pPr>
    </w:p>
    <w:p w14:paraId="4374030D" w14:textId="18EAC8F5" w:rsidR="00D41EC6" w:rsidRPr="00D41EC6" w:rsidRDefault="00D41EC6" w:rsidP="00D41EC6">
      <w:pPr>
        <w:numPr>
          <w:ilvl w:val="0"/>
          <w:numId w:val="1"/>
        </w:numPr>
        <w:autoSpaceDE w:val="0"/>
        <w:autoSpaceDN w:val="0"/>
        <w:adjustRightInd w:val="0"/>
        <w:rPr>
          <w:rFonts w:asciiTheme="majorHAnsi" w:hAnsiTheme="majorHAnsi"/>
          <w:color w:val="000000"/>
          <w:sz w:val="22"/>
          <w:szCs w:val="16"/>
          <w:lang w:val="en-US"/>
        </w:rPr>
      </w:pPr>
      <w:r w:rsidRPr="00D41EC6">
        <w:rPr>
          <w:rFonts w:asciiTheme="majorHAnsi" w:hAnsiTheme="majorHAnsi"/>
          <w:color w:val="000000"/>
          <w:sz w:val="22"/>
          <w:szCs w:val="16"/>
          <w:lang w:val="en-US"/>
        </w:rPr>
        <w:t xml:space="preserve">More information on writing these essays can be found in the article that appeared in the January 2024 edition of the Biomedical Scientist on ‘Writing at the Right Level’. This can be found </w:t>
      </w:r>
      <w:hyperlink r:id="rId10" w:history="1">
        <w:r w:rsidRPr="00D41EC6">
          <w:rPr>
            <w:rStyle w:val="Hyperlink"/>
            <w:rFonts w:asciiTheme="majorHAnsi" w:hAnsiTheme="majorHAnsi"/>
            <w:sz w:val="22"/>
            <w:szCs w:val="16"/>
            <w:lang w:val="en-US"/>
          </w:rPr>
          <w:t>here</w:t>
        </w:r>
      </w:hyperlink>
      <w:r w:rsidRPr="00D41EC6">
        <w:rPr>
          <w:rFonts w:asciiTheme="majorHAnsi" w:hAnsiTheme="majorHAnsi"/>
          <w:color w:val="000000"/>
          <w:sz w:val="22"/>
          <w:szCs w:val="16"/>
          <w:lang w:val="en-US"/>
        </w:rPr>
        <w:t xml:space="preserve">. </w:t>
      </w:r>
      <w:r w:rsidRPr="00D41EC6">
        <w:rPr>
          <w:sz w:val="22"/>
          <w:szCs w:val="22"/>
        </w:rPr>
        <w:t>In addition</w:t>
      </w:r>
      <w:r w:rsidR="00F65E9F">
        <w:rPr>
          <w:sz w:val="22"/>
          <w:szCs w:val="22"/>
        </w:rPr>
        <w:t>,</w:t>
      </w:r>
      <w:r w:rsidRPr="00D41EC6">
        <w:rPr>
          <w:sz w:val="22"/>
          <w:szCs w:val="22"/>
        </w:rPr>
        <w:t xml:space="preserve"> a Support Hub session was held in March 2024 hosted by the IBMS Head of Examinations (Mr Chris Ward) and Head of Digital Education (Dr Jim Taylor). The recording of this session can be found on our website </w:t>
      </w:r>
      <w:hyperlink r:id="rId11" w:history="1">
        <w:r w:rsidRPr="00D41EC6">
          <w:rPr>
            <w:rStyle w:val="Hyperlink"/>
            <w:sz w:val="22"/>
            <w:szCs w:val="22"/>
          </w:rPr>
          <w:t>here.</w:t>
        </w:r>
      </w:hyperlink>
    </w:p>
    <w:p w14:paraId="47E3DD94" w14:textId="77777777" w:rsidR="00D41EC6" w:rsidRPr="00D41EC6" w:rsidRDefault="00D41EC6" w:rsidP="00D41EC6">
      <w:pPr>
        <w:autoSpaceDE w:val="0"/>
        <w:autoSpaceDN w:val="0"/>
        <w:adjustRightInd w:val="0"/>
        <w:rPr>
          <w:rFonts w:asciiTheme="majorHAnsi" w:hAnsiTheme="majorHAnsi"/>
          <w:color w:val="000000"/>
          <w:sz w:val="22"/>
          <w:szCs w:val="16"/>
          <w:lang w:val="en-US"/>
        </w:rPr>
      </w:pPr>
    </w:p>
    <w:p w14:paraId="61CE3457" w14:textId="0D0A61B6" w:rsidR="00942021" w:rsidRPr="00D41EC6" w:rsidRDefault="00942021" w:rsidP="00890150">
      <w:pPr>
        <w:numPr>
          <w:ilvl w:val="0"/>
          <w:numId w:val="1"/>
        </w:numPr>
        <w:autoSpaceDE w:val="0"/>
        <w:autoSpaceDN w:val="0"/>
        <w:adjustRightInd w:val="0"/>
        <w:rPr>
          <w:rFonts w:asciiTheme="majorHAnsi" w:hAnsiTheme="majorHAnsi"/>
          <w:color w:val="000000"/>
          <w:sz w:val="22"/>
          <w:szCs w:val="16"/>
          <w:lang w:val="en-US"/>
        </w:rPr>
      </w:pPr>
      <w:r w:rsidRPr="00D41EC6">
        <w:rPr>
          <w:rFonts w:asciiTheme="majorHAnsi" w:hAnsiTheme="majorHAnsi"/>
          <w:color w:val="000000"/>
          <w:sz w:val="22"/>
          <w:szCs w:val="16"/>
          <w:lang w:val="en-US"/>
        </w:rPr>
        <w:t>Candidates should</w:t>
      </w:r>
      <w:r w:rsidR="00F12809" w:rsidRPr="00D41EC6">
        <w:rPr>
          <w:rFonts w:asciiTheme="majorHAnsi" w:hAnsiTheme="majorHAnsi"/>
          <w:color w:val="000000"/>
          <w:sz w:val="22"/>
          <w:szCs w:val="16"/>
          <w:lang w:val="en-US"/>
        </w:rPr>
        <w:t xml:space="preserve"> note that </w:t>
      </w:r>
      <w:r w:rsidR="006968F3" w:rsidRPr="00D41EC6">
        <w:rPr>
          <w:rFonts w:asciiTheme="majorHAnsi" w:hAnsiTheme="majorHAnsi"/>
          <w:color w:val="000000"/>
          <w:sz w:val="22"/>
          <w:szCs w:val="16"/>
          <w:lang w:val="en-US"/>
        </w:rPr>
        <w:t xml:space="preserve">the </w:t>
      </w:r>
      <w:r w:rsidR="00F12809" w:rsidRPr="00D41EC6">
        <w:rPr>
          <w:rFonts w:asciiTheme="majorHAnsi" w:hAnsiTheme="majorHAnsi"/>
          <w:color w:val="000000"/>
          <w:sz w:val="22"/>
          <w:szCs w:val="16"/>
          <w:lang w:val="en-US"/>
        </w:rPr>
        <w:t xml:space="preserve">essays will be entered into </w:t>
      </w:r>
      <w:r w:rsidR="008B49AE" w:rsidRPr="00D41EC6">
        <w:rPr>
          <w:rFonts w:asciiTheme="majorHAnsi" w:hAnsiTheme="majorHAnsi"/>
          <w:color w:val="000000"/>
          <w:sz w:val="22"/>
          <w:szCs w:val="16"/>
          <w:lang w:val="en-US"/>
        </w:rPr>
        <w:t>the originality checking</w:t>
      </w:r>
      <w:r w:rsidR="00704402" w:rsidRPr="00D41EC6">
        <w:rPr>
          <w:rFonts w:asciiTheme="majorHAnsi" w:hAnsiTheme="majorHAnsi"/>
          <w:color w:val="000000"/>
          <w:sz w:val="22"/>
          <w:szCs w:val="16"/>
          <w:lang w:val="en-US"/>
        </w:rPr>
        <w:t xml:space="preserve"> software system </w:t>
      </w:r>
      <w:r w:rsidR="008B49AE" w:rsidRPr="00D41EC6">
        <w:rPr>
          <w:rFonts w:asciiTheme="majorHAnsi" w:hAnsiTheme="majorHAnsi"/>
          <w:color w:val="000000"/>
          <w:sz w:val="22"/>
          <w:szCs w:val="16"/>
          <w:lang w:val="en-US"/>
        </w:rPr>
        <w:t xml:space="preserve">called Turnitin. </w:t>
      </w:r>
      <w:r w:rsidR="008B49AE" w:rsidRPr="00D41EC6">
        <w:rPr>
          <w:sz w:val="22"/>
          <w:szCs w:val="22"/>
        </w:rPr>
        <w:t xml:space="preserve">This software produces a report that highlights not only how much text is similar to other sources but also where this material is located. </w:t>
      </w:r>
    </w:p>
    <w:p w14:paraId="3EBAE245" w14:textId="77777777" w:rsidR="00942021" w:rsidRPr="00D41EC6" w:rsidRDefault="00942021" w:rsidP="00942021">
      <w:pPr>
        <w:pStyle w:val="ListParagraph"/>
        <w:rPr>
          <w:sz w:val="22"/>
          <w:szCs w:val="22"/>
        </w:rPr>
      </w:pPr>
    </w:p>
    <w:p w14:paraId="59BE293D" w14:textId="6856E5F1" w:rsidR="00942021" w:rsidRPr="00D41EC6" w:rsidRDefault="008B49AE" w:rsidP="00942021">
      <w:pPr>
        <w:autoSpaceDE w:val="0"/>
        <w:autoSpaceDN w:val="0"/>
        <w:adjustRightInd w:val="0"/>
        <w:ind w:left="360"/>
        <w:rPr>
          <w:rFonts w:asciiTheme="majorHAnsi" w:hAnsiTheme="majorHAnsi" w:cs="Arial"/>
          <w:b/>
          <w:color w:val="000000"/>
        </w:rPr>
      </w:pPr>
      <w:r w:rsidRPr="00D41EC6">
        <w:rPr>
          <w:sz w:val="22"/>
          <w:szCs w:val="22"/>
        </w:rPr>
        <w:t xml:space="preserve">The similarity score that is produced as part of its </w:t>
      </w:r>
      <w:r w:rsidR="00942021" w:rsidRPr="00D41EC6">
        <w:rPr>
          <w:sz w:val="22"/>
          <w:szCs w:val="22"/>
        </w:rPr>
        <w:t xml:space="preserve">Turnitin </w:t>
      </w:r>
      <w:r w:rsidRPr="00D41EC6">
        <w:rPr>
          <w:sz w:val="22"/>
          <w:szCs w:val="22"/>
        </w:rPr>
        <w:t>report requires the academic judgement of the examiners and the IBMS Head of Examinations to interpret whether this necessitates a</w:t>
      </w:r>
      <w:r w:rsidR="00942021" w:rsidRPr="00D41EC6">
        <w:rPr>
          <w:sz w:val="22"/>
          <w:szCs w:val="22"/>
        </w:rPr>
        <w:t>ny a</w:t>
      </w:r>
      <w:r w:rsidRPr="00D41EC6">
        <w:rPr>
          <w:sz w:val="22"/>
          <w:szCs w:val="22"/>
        </w:rPr>
        <w:t>ction.</w:t>
      </w:r>
      <w:r w:rsidR="00440CA4" w:rsidRPr="00D41EC6">
        <w:rPr>
          <w:sz w:val="22"/>
          <w:szCs w:val="22"/>
        </w:rPr>
        <w:t xml:space="preserve"> Where plagiarism is detected, or if the similarity score is unacceptably high, it will be treated as academic malpractice and may have serious consequences</w:t>
      </w:r>
      <w:r w:rsidR="003118F0" w:rsidRPr="00D41EC6">
        <w:rPr>
          <w:sz w:val="22"/>
          <w:szCs w:val="22"/>
        </w:rPr>
        <w:t>. This could include the failure of the portfolio</w:t>
      </w:r>
      <w:r w:rsidR="00046815" w:rsidRPr="00D41EC6">
        <w:rPr>
          <w:sz w:val="22"/>
          <w:szCs w:val="22"/>
        </w:rPr>
        <w:t>.</w:t>
      </w:r>
    </w:p>
    <w:p w14:paraId="270C4BC7" w14:textId="77777777" w:rsidR="00942021" w:rsidRPr="00D41EC6" w:rsidRDefault="00942021" w:rsidP="00942021">
      <w:pPr>
        <w:autoSpaceDE w:val="0"/>
        <w:autoSpaceDN w:val="0"/>
        <w:adjustRightInd w:val="0"/>
        <w:ind w:left="360"/>
        <w:rPr>
          <w:rFonts w:asciiTheme="majorHAnsi" w:hAnsiTheme="majorHAnsi" w:cs="Arial"/>
          <w:b/>
          <w:color w:val="000000"/>
        </w:rPr>
      </w:pPr>
    </w:p>
    <w:p w14:paraId="3D270094" w14:textId="1DC3DAA6" w:rsidR="00AC52AF" w:rsidRPr="00D41EC6" w:rsidRDefault="00B241A4" w:rsidP="00942021">
      <w:pPr>
        <w:autoSpaceDE w:val="0"/>
        <w:autoSpaceDN w:val="0"/>
        <w:adjustRightInd w:val="0"/>
        <w:rPr>
          <w:rFonts w:asciiTheme="majorHAnsi" w:hAnsiTheme="majorHAnsi" w:cs="Arial"/>
          <w:b/>
          <w:color w:val="000000"/>
        </w:rPr>
      </w:pPr>
      <w:r w:rsidRPr="00D41EC6">
        <w:rPr>
          <w:rFonts w:asciiTheme="majorHAnsi" w:hAnsiTheme="majorHAnsi" w:cs="Arial"/>
          <w:b/>
          <w:color w:val="000000"/>
        </w:rPr>
        <w:t>Important Points to Remember</w:t>
      </w:r>
    </w:p>
    <w:p w14:paraId="1C4DF03B" w14:textId="30A6414F" w:rsidR="00AC52AF" w:rsidRPr="00D41EC6" w:rsidRDefault="00942021" w:rsidP="00942021">
      <w:pPr>
        <w:autoSpaceDE w:val="0"/>
        <w:autoSpaceDN w:val="0"/>
        <w:adjustRightInd w:val="0"/>
        <w:rPr>
          <w:bCs/>
          <w:color w:val="000000"/>
          <w:sz w:val="22"/>
          <w:szCs w:val="22"/>
          <w:lang w:val="en-US"/>
        </w:rPr>
      </w:pPr>
      <w:r w:rsidRPr="00D41EC6">
        <w:rPr>
          <w:rFonts w:asciiTheme="majorHAnsi" w:hAnsiTheme="majorHAnsi" w:cs="Arial"/>
          <w:bCs/>
          <w:color w:val="000000"/>
          <w:sz w:val="22"/>
          <w:szCs w:val="22"/>
        </w:rPr>
        <w:t>T</w:t>
      </w:r>
      <w:r w:rsidRPr="00D41EC6">
        <w:rPr>
          <w:rFonts w:asciiTheme="majorHAnsi" w:hAnsiTheme="majorHAnsi"/>
          <w:bCs/>
          <w:sz w:val="22"/>
          <w:szCs w:val="22"/>
          <w:lang w:val="en-US"/>
        </w:rPr>
        <w:t xml:space="preserve">he completion of the two essays forms parts of the portfolio requirements for the HSD. These essays help candidates to demonstrate to the examiners that they have a </w:t>
      </w:r>
      <w:r w:rsidRPr="00D41EC6">
        <w:rPr>
          <w:rFonts w:eastAsia="Times New Roman"/>
          <w:bCs/>
          <w:sz w:val="22"/>
          <w:szCs w:val="22"/>
        </w:rPr>
        <w:t>comprehensive understanding of a specific field of biomedical science and knowledge and understanding of current issues and developments which are key learning outcomes of the HSD.</w:t>
      </w:r>
      <w:r w:rsidRPr="00D41EC6">
        <w:rPr>
          <w:bCs/>
          <w:color w:val="000000"/>
          <w:sz w:val="22"/>
          <w:szCs w:val="22"/>
          <w:lang w:val="en-US"/>
        </w:rPr>
        <w:t xml:space="preserve"> </w:t>
      </w:r>
      <w:r w:rsidR="00046815" w:rsidRPr="00D41EC6">
        <w:rPr>
          <w:bCs/>
          <w:color w:val="000000"/>
          <w:sz w:val="22"/>
          <w:szCs w:val="22"/>
          <w:lang w:val="en-US"/>
        </w:rPr>
        <w:t xml:space="preserve"> </w:t>
      </w:r>
      <w:r w:rsidR="00AC52AF" w:rsidRPr="00D41EC6">
        <w:rPr>
          <w:rFonts w:asciiTheme="majorHAnsi" w:eastAsia="Calibri" w:hAnsiTheme="majorHAnsi" w:cs="Times New Roman"/>
          <w:bCs/>
          <w:color w:val="000000"/>
          <w:sz w:val="22"/>
          <w:szCs w:val="22"/>
        </w:rPr>
        <w:t>At this level, you should be able to demonstrate:</w:t>
      </w:r>
    </w:p>
    <w:p w14:paraId="7505BF54"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22"/>
        </w:rPr>
        <w:t>a systematic understanding of knowledge and a critical awareness of current problems, much of which is at, or informed by, work at the forefront of the academic discipline</w:t>
      </w:r>
    </w:p>
    <w:p w14:paraId="7889E6AF"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lastRenderedPageBreak/>
        <w:t>a comprehensive understanding of techniques applicable to their own research</w:t>
      </w:r>
    </w:p>
    <w:p w14:paraId="5D63BA70"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t>originality in the application of knowledge</w:t>
      </w:r>
    </w:p>
    <w:p w14:paraId="55F4460F"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t>a conceptual understanding that enables critical evaluation of current research in their discipline</w:t>
      </w:r>
    </w:p>
    <w:p w14:paraId="17309275" w14:textId="77777777" w:rsidR="00AC52AF" w:rsidRPr="00D41EC6" w:rsidRDefault="00AC52AF" w:rsidP="00AC52AF">
      <w:pPr>
        <w:tabs>
          <w:tab w:val="left" w:pos="0"/>
        </w:tabs>
        <w:ind w:left="1440" w:hanging="1440"/>
        <w:rPr>
          <w:rFonts w:asciiTheme="majorHAnsi" w:eastAsia="Calibri" w:hAnsiTheme="majorHAnsi" w:cs="Arial"/>
          <w:bCs/>
          <w:color w:val="000000"/>
          <w:sz w:val="18"/>
          <w:szCs w:val="18"/>
        </w:rPr>
      </w:pPr>
    </w:p>
    <w:p w14:paraId="3D6F4049" w14:textId="7ABEF355" w:rsidR="00AC52AF" w:rsidRPr="00D41EC6" w:rsidRDefault="00AC52AF" w:rsidP="00813503">
      <w:pPr>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22"/>
        </w:rPr>
        <w:t>In constructing your essay</w:t>
      </w:r>
      <w:r w:rsidR="00942021" w:rsidRPr="00D41EC6">
        <w:rPr>
          <w:rFonts w:asciiTheme="majorHAnsi" w:eastAsia="Calibri" w:hAnsiTheme="majorHAnsi" w:cs="Times New Roman"/>
          <w:bCs/>
          <w:color w:val="000000"/>
          <w:sz w:val="22"/>
          <w:szCs w:val="22"/>
        </w:rPr>
        <w:t>s</w:t>
      </w:r>
      <w:r w:rsidRPr="00D41EC6">
        <w:rPr>
          <w:rFonts w:asciiTheme="majorHAnsi" w:eastAsia="Calibri" w:hAnsiTheme="majorHAnsi" w:cs="Times New Roman"/>
          <w:bCs/>
          <w:color w:val="000000"/>
          <w:sz w:val="22"/>
          <w:szCs w:val="22"/>
        </w:rPr>
        <w:t xml:space="preserve"> you should:</w:t>
      </w:r>
    </w:p>
    <w:p w14:paraId="700209AE"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critically evaluate/discuss</w:t>
      </w:r>
    </w:p>
    <w:p w14:paraId="193A5E43"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judge the relevance and significance of information</w:t>
      </w:r>
    </w:p>
    <w:p w14:paraId="6F3EE22A"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evaluate claims, inferences, arguments and explanations</w:t>
      </w:r>
    </w:p>
    <w:p w14:paraId="5A775D71"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construct clear and coherent arguments</w:t>
      </w:r>
    </w:p>
    <w:p w14:paraId="30489F61"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form well-reasoned judgements and decisions</w:t>
      </w:r>
    </w:p>
    <w:p w14:paraId="6D171238"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integrate and appraise reading and research</w:t>
      </w:r>
    </w:p>
    <w:p w14:paraId="75E07420" w14:textId="0B7B6591" w:rsidR="00AC52AF" w:rsidRPr="00D41EC6" w:rsidRDefault="00AC52AF" w:rsidP="00890150">
      <w:pPr>
        <w:numPr>
          <w:ilvl w:val="0"/>
          <w:numId w:val="2"/>
        </w:numPr>
        <w:rPr>
          <w:bCs/>
          <w:iCs/>
          <w:color w:val="000000"/>
          <w:sz w:val="22"/>
          <w:szCs w:val="22"/>
        </w:rPr>
      </w:pPr>
      <w:r w:rsidRPr="00D41EC6">
        <w:rPr>
          <w:bCs/>
          <w:iCs/>
          <w:color w:val="000000"/>
          <w:sz w:val="22"/>
          <w:szCs w:val="22"/>
        </w:rPr>
        <w:t>be original in your application of knowledge</w:t>
      </w:r>
    </w:p>
    <w:p w14:paraId="3ED3EA22" w14:textId="77777777" w:rsidR="00AC52AF" w:rsidRDefault="00AC52AF" w:rsidP="00AC52AF">
      <w:pPr>
        <w:rPr>
          <w:b/>
          <w:u w:val="single"/>
        </w:rPr>
      </w:pPr>
    </w:p>
    <w:p w14:paraId="2C3446E5" w14:textId="77777777" w:rsidR="00D41EC6" w:rsidRPr="00AC52AF" w:rsidRDefault="00D41EC6" w:rsidP="00AC52AF">
      <w:pPr>
        <w:rPr>
          <w:b/>
          <w:u w:val="single"/>
        </w:rPr>
      </w:pPr>
    </w:p>
    <w:p w14:paraId="66EA993D" w14:textId="2C7B885B" w:rsidR="00942021" w:rsidRPr="00D41EC6" w:rsidRDefault="00882872">
      <w:pPr>
        <w:rPr>
          <w:b/>
        </w:rPr>
      </w:pPr>
      <w:r w:rsidRPr="00D41EC6">
        <w:rPr>
          <w:b/>
        </w:rPr>
        <w:t>HSD Essay Titles for 20</w:t>
      </w:r>
      <w:r w:rsidR="00793FD5" w:rsidRPr="00D41EC6">
        <w:rPr>
          <w:b/>
        </w:rPr>
        <w:t>2</w:t>
      </w:r>
      <w:r w:rsidR="00867B97" w:rsidRPr="00D41EC6">
        <w:rPr>
          <w:b/>
        </w:rPr>
        <w:t>5</w:t>
      </w:r>
    </w:p>
    <w:p w14:paraId="6C61B841" w14:textId="77777777" w:rsidR="00895BB2" w:rsidRPr="00895BB2" w:rsidRDefault="00895BB2" w:rsidP="00DC6E18">
      <w:pPr>
        <w:rPr>
          <w:rFonts w:asciiTheme="majorHAnsi" w:hAnsiTheme="majorHAnsi"/>
          <w:b/>
          <w:szCs w:val="22"/>
        </w:rPr>
      </w:pPr>
    </w:p>
    <w:p w14:paraId="33092539" w14:textId="59CEC4D3" w:rsidR="000B7BC5" w:rsidRPr="00D41EC6" w:rsidRDefault="009C6732" w:rsidP="00DC6E18">
      <w:pPr>
        <w:rPr>
          <w:rFonts w:asciiTheme="majorHAnsi" w:hAnsiTheme="majorHAnsi"/>
          <w:b/>
        </w:rPr>
      </w:pPr>
      <w:r w:rsidRPr="00D41EC6">
        <w:rPr>
          <w:rFonts w:asciiTheme="majorHAnsi" w:hAnsiTheme="majorHAnsi"/>
          <w:b/>
        </w:rPr>
        <w:t>Cellular Pathology</w:t>
      </w:r>
    </w:p>
    <w:p w14:paraId="15483EA0" w14:textId="77777777" w:rsidR="00EB6B56" w:rsidRPr="00D41EC6" w:rsidRDefault="00EB6B56" w:rsidP="00EB6B56">
      <w:pPr>
        <w:rPr>
          <w:rFonts w:ascii="Aptos" w:hAnsi="Aptos" w:cs="Aptos"/>
          <w:sz w:val="22"/>
          <w:szCs w:val="22"/>
        </w:rPr>
      </w:pPr>
      <w:r w:rsidRPr="00D41EC6">
        <w:rPr>
          <w:color w:val="000000"/>
          <w:sz w:val="22"/>
          <w:szCs w:val="22"/>
        </w:rPr>
        <w:t>Critically appraise the benefits of biomedical staff training in dissection to service delivery.</w:t>
      </w:r>
    </w:p>
    <w:p w14:paraId="0F973C98" w14:textId="77777777" w:rsidR="00EB6B56" w:rsidRPr="00D41EC6" w:rsidRDefault="00EB6B56" w:rsidP="00EB6B56">
      <w:pPr>
        <w:rPr>
          <w:sz w:val="22"/>
          <w:szCs w:val="22"/>
        </w:rPr>
      </w:pPr>
    </w:p>
    <w:p w14:paraId="37FC5D19" w14:textId="339597DA" w:rsidR="00EB6B56" w:rsidRPr="00D41EC6" w:rsidRDefault="00EB6B56" w:rsidP="00EB6B56">
      <w:pPr>
        <w:rPr>
          <w:sz w:val="22"/>
          <w:szCs w:val="22"/>
        </w:rPr>
      </w:pPr>
      <w:r w:rsidRPr="00D41EC6">
        <w:rPr>
          <w:color w:val="000000"/>
          <w:sz w:val="22"/>
          <w:szCs w:val="22"/>
        </w:rPr>
        <w:t>Discuss and debate the benefits and application of HPV screening within cellular pathology</w:t>
      </w:r>
      <w:r w:rsidR="002946E1">
        <w:rPr>
          <w:color w:val="000000"/>
          <w:sz w:val="22"/>
          <w:szCs w:val="22"/>
        </w:rPr>
        <w:t>.</w:t>
      </w:r>
    </w:p>
    <w:p w14:paraId="1DD00011" w14:textId="77777777" w:rsidR="007461E7" w:rsidRPr="00D41EC6" w:rsidRDefault="007461E7" w:rsidP="0089288C">
      <w:pPr>
        <w:rPr>
          <w:rFonts w:asciiTheme="majorHAnsi" w:hAnsiTheme="majorHAnsi"/>
          <w:b/>
          <w:sz w:val="22"/>
          <w:szCs w:val="22"/>
        </w:rPr>
      </w:pPr>
    </w:p>
    <w:p w14:paraId="540EF2B6" w14:textId="77777777" w:rsidR="00895BB2" w:rsidRPr="00D41EC6" w:rsidRDefault="00895BB2" w:rsidP="0089288C">
      <w:pPr>
        <w:rPr>
          <w:rFonts w:asciiTheme="majorHAnsi" w:hAnsiTheme="majorHAnsi"/>
          <w:b/>
          <w:sz w:val="22"/>
          <w:szCs w:val="22"/>
        </w:rPr>
      </w:pPr>
    </w:p>
    <w:p w14:paraId="4570B7B0" w14:textId="30678C1A" w:rsidR="00E63730" w:rsidRPr="00D41EC6" w:rsidRDefault="009C6732">
      <w:pPr>
        <w:rPr>
          <w:rFonts w:asciiTheme="majorHAnsi" w:hAnsiTheme="majorHAnsi"/>
          <w:b/>
          <w:sz w:val="22"/>
          <w:szCs w:val="22"/>
        </w:rPr>
      </w:pPr>
      <w:r w:rsidRPr="00D41EC6">
        <w:rPr>
          <w:rFonts w:asciiTheme="majorHAnsi" w:hAnsiTheme="majorHAnsi"/>
          <w:b/>
        </w:rPr>
        <w:t>Clinical Chemistry</w:t>
      </w:r>
    </w:p>
    <w:p w14:paraId="46FCE2B4" w14:textId="77777777" w:rsidR="00867B97" w:rsidRPr="00D41EC6" w:rsidRDefault="00867B97" w:rsidP="00867B97">
      <w:pPr>
        <w:rPr>
          <w:sz w:val="22"/>
          <w:szCs w:val="22"/>
        </w:rPr>
      </w:pPr>
      <w:r w:rsidRPr="00D41EC6">
        <w:rPr>
          <w:sz w:val="22"/>
          <w:szCs w:val="22"/>
        </w:rPr>
        <w:t>Critically review recent advancements in Clinical Biochemistry practice using specific examples from either technology and/or biomarker development.</w:t>
      </w:r>
    </w:p>
    <w:p w14:paraId="6E91DB8B" w14:textId="77777777" w:rsidR="00867B97" w:rsidRPr="00D41EC6" w:rsidRDefault="00867B97" w:rsidP="00867B97">
      <w:pPr>
        <w:rPr>
          <w:sz w:val="22"/>
          <w:szCs w:val="22"/>
        </w:rPr>
      </w:pPr>
    </w:p>
    <w:p w14:paraId="49ADCAC8" w14:textId="2F76EB75" w:rsidR="00A04DED" w:rsidRPr="00D41EC6" w:rsidRDefault="00867B97" w:rsidP="00B241A4">
      <w:pPr>
        <w:rPr>
          <w:sz w:val="22"/>
          <w:szCs w:val="22"/>
        </w:rPr>
      </w:pPr>
      <w:r w:rsidRPr="00D41EC6">
        <w:rPr>
          <w:sz w:val="22"/>
          <w:szCs w:val="22"/>
        </w:rPr>
        <w:t>Critically discuss the role of the Clinical Biochemistry laboratory in prenatal health and disease.</w:t>
      </w:r>
    </w:p>
    <w:p w14:paraId="48BEDC06" w14:textId="77777777" w:rsidR="002D1F85" w:rsidRDefault="002D1F85" w:rsidP="00B241A4">
      <w:pPr>
        <w:rPr>
          <w:rFonts w:asciiTheme="majorHAnsi" w:hAnsiTheme="majorHAnsi"/>
          <w:b/>
          <w:sz w:val="22"/>
          <w:szCs w:val="22"/>
        </w:rPr>
      </w:pPr>
    </w:p>
    <w:p w14:paraId="408B385B" w14:textId="77777777" w:rsidR="00D41EC6" w:rsidRPr="00D41EC6" w:rsidRDefault="00D41EC6" w:rsidP="00B241A4">
      <w:pPr>
        <w:rPr>
          <w:rFonts w:asciiTheme="majorHAnsi" w:hAnsiTheme="majorHAnsi"/>
          <w:b/>
          <w:sz w:val="22"/>
          <w:szCs w:val="22"/>
        </w:rPr>
      </w:pPr>
    </w:p>
    <w:p w14:paraId="192518B4" w14:textId="4E12FE2C" w:rsidR="000B7BC5" w:rsidRPr="00D41EC6" w:rsidRDefault="00882872" w:rsidP="00B241A4">
      <w:pPr>
        <w:rPr>
          <w:rFonts w:asciiTheme="majorHAnsi" w:hAnsiTheme="majorHAnsi"/>
          <w:b/>
        </w:rPr>
      </w:pPr>
      <w:r w:rsidRPr="00D41EC6">
        <w:rPr>
          <w:rFonts w:asciiTheme="majorHAnsi" w:hAnsiTheme="majorHAnsi"/>
          <w:b/>
        </w:rPr>
        <w:t>Cytopathology</w:t>
      </w:r>
    </w:p>
    <w:p w14:paraId="4C1C9636" w14:textId="59E43867" w:rsidR="00A80B6F" w:rsidRPr="00A80B6F" w:rsidRDefault="00A80B6F" w:rsidP="00A80B6F">
      <w:pPr>
        <w:rPr>
          <w:bCs/>
          <w:sz w:val="22"/>
          <w:szCs w:val="22"/>
        </w:rPr>
      </w:pPr>
      <w:bookmarkStart w:id="0" w:name="_Hlk170738746"/>
      <w:r w:rsidRPr="00A80B6F">
        <w:rPr>
          <w:bCs/>
          <w:sz w:val="22"/>
          <w:szCs w:val="22"/>
        </w:rPr>
        <w:t>Critically discuss the current and potential future use and impact of AI within the UK Cervical Screening Programmes.</w:t>
      </w:r>
    </w:p>
    <w:bookmarkEnd w:id="0"/>
    <w:p w14:paraId="23DE8CF9" w14:textId="77777777" w:rsidR="002D1F85" w:rsidRDefault="002D1F85" w:rsidP="00E63730">
      <w:pPr>
        <w:rPr>
          <w:rFonts w:asciiTheme="majorHAnsi" w:hAnsiTheme="majorHAnsi" w:cs="Times New Roman"/>
          <w:b/>
          <w:iCs/>
          <w:sz w:val="22"/>
          <w:szCs w:val="22"/>
        </w:rPr>
      </w:pPr>
    </w:p>
    <w:p w14:paraId="294A85B8" w14:textId="77777777" w:rsidR="00A80B6F" w:rsidRPr="006811EB" w:rsidRDefault="00A80B6F" w:rsidP="00A80B6F">
      <w:pPr>
        <w:rPr>
          <w:bCs/>
          <w:sz w:val="22"/>
          <w:szCs w:val="22"/>
        </w:rPr>
      </w:pPr>
      <w:r w:rsidRPr="006811EB">
        <w:rPr>
          <w:bCs/>
          <w:sz w:val="22"/>
          <w:szCs w:val="22"/>
        </w:rPr>
        <w:t>Discuss the role of immunocytochemistry in the differential diagnosis of metastatic adenocarcinoma in serous effusions.</w:t>
      </w:r>
    </w:p>
    <w:p w14:paraId="54724F29" w14:textId="77777777" w:rsidR="00A80B6F" w:rsidRDefault="00A80B6F" w:rsidP="00E63730">
      <w:pPr>
        <w:rPr>
          <w:rFonts w:asciiTheme="majorHAnsi" w:hAnsiTheme="majorHAnsi" w:cs="Times New Roman"/>
          <w:b/>
          <w:iCs/>
          <w:sz w:val="22"/>
          <w:szCs w:val="22"/>
        </w:rPr>
      </w:pPr>
    </w:p>
    <w:p w14:paraId="1784EE71" w14:textId="77777777" w:rsidR="00A80B6F" w:rsidRPr="00D41EC6" w:rsidRDefault="00A80B6F" w:rsidP="00E63730">
      <w:pPr>
        <w:rPr>
          <w:rFonts w:asciiTheme="majorHAnsi" w:hAnsiTheme="majorHAnsi" w:cs="Times New Roman"/>
          <w:b/>
          <w:iCs/>
          <w:sz w:val="22"/>
          <w:szCs w:val="22"/>
        </w:rPr>
      </w:pPr>
    </w:p>
    <w:p w14:paraId="60F711EF" w14:textId="77777777" w:rsidR="00867B97" w:rsidRPr="00D41EC6" w:rsidRDefault="00B94DF9" w:rsidP="00867B97">
      <w:pPr>
        <w:rPr>
          <w:rFonts w:asciiTheme="majorHAnsi" w:hAnsiTheme="majorHAnsi" w:cs="Times New Roman"/>
          <w:b/>
          <w:iCs/>
        </w:rPr>
      </w:pPr>
      <w:r w:rsidRPr="00D41EC6">
        <w:rPr>
          <w:rFonts w:asciiTheme="majorHAnsi" w:hAnsiTheme="majorHAnsi" w:cs="Times New Roman"/>
          <w:b/>
          <w:iCs/>
        </w:rPr>
        <w:t>Haematology</w:t>
      </w:r>
    </w:p>
    <w:p w14:paraId="36F9B8F1" w14:textId="0CEF6788" w:rsidR="00867B97" w:rsidRPr="00D41EC6" w:rsidRDefault="00867B97" w:rsidP="00867B97">
      <w:pPr>
        <w:rPr>
          <w:rFonts w:asciiTheme="majorHAnsi" w:hAnsiTheme="majorHAnsi" w:cstheme="majorHAnsi"/>
          <w:color w:val="000000"/>
          <w:sz w:val="22"/>
          <w:szCs w:val="22"/>
        </w:rPr>
      </w:pPr>
      <w:r w:rsidRPr="00D41EC6">
        <w:rPr>
          <w:rFonts w:asciiTheme="majorHAnsi" w:hAnsiTheme="majorHAnsi" w:cstheme="majorHAnsi"/>
          <w:color w:val="000000"/>
          <w:sz w:val="22"/>
          <w:szCs w:val="22"/>
        </w:rPr>
        <w:t>Critically discuss the peripheral blood and bone marrow morphology, immunophenotyping and cytogenetics associated with BCR:ABL1 negative myeloproliferative neoplasms.</w:t>
      </w:r>
    </w:p>
    <w:p w14:paraId="2F54DC07" w14:textId="77777777" w:rsidR="00867B97" w:rsidRPr="00D41EC6" w:rsidRDefault="00867B97" w:rsidP="00867B97">
      <w:pPr>
        <w:rPr>
          <w:rFonts w:asciiTheme="majorHAnsi" w:hAnsiTheme="majorHAnsi" w:cstheme="majorHAnsi"/>
          <w:b/>
          <w:iCs/>
          <w:sz w:val="22"/>
          <w:szCs w:val="22"/>
        </w:rPr>
      </w:pPr>
    </w:p>
    <w:p w14:paraId="2538C101" w14:textId="5181CF28" w:rsidR="00867B97" w:rsidRPr="00D41EC6" w:rsidRDefault="00867B97" w:rsidP="00867B97">
      <w:pPr>
        <w:pStyle w:val="elementtoproof"/>
        <w:spacing w:before="0" w:beforeAutospacing="0" w:after="0" w:afterAutospacing="0"/>
        <w:rPr>
          <w:rFonts w:asciiTheme="majorHAnsi" w:hAnsiTheme="majorHAnsi" w:cstheme="majorHAnsi"/>
          <w:sz w:val="22"/>
          <w:szCs w:val="22"/>
        </w:rPr>
      </w:pPr>
      <w:r w:rsidRPr="00D41EC6">
        <w:rPr>
          <w:rFonts w:asciiTheme="majorHAnsi" w:hAnsiTheme="majorHAnsi" w:cstheme="majorHAnsi"/>
          <w:color w:val="000000"/>
          <w:sz w:val="22"/>
          <w:szCs w:val="22"/>
        </w:rPr>
        <w:t>Critically discuss the diagnosis and classification of inherited platelet disorders.</w:t>
      </w:r>
    </w:p>
    <w:p w14:paraId="06263243" w14:textId="77777777" w:rsidR="00895BB2" w:rsidRDefault="00895BB2" w:rsidP="00DC6E18">
      <w:pPr>
        <w:rPr>
          <w:rFonts w:asciiTheme="majorHAnsi" w:hAnsiTheme="majorHAnsi" w:cs="Times New Roman"/>
          <w:b/>
          <w:iCs/>
          <w:sz w:val="22"/>
          <w:szCs w:val="22"/>
        </w:rPr>
      </w:pPr>
    </w:p>
    <w:p w14:paraId="209824D3" w14:textId="77777777" w:rsidR="00D41EC6" w:rsidRPr="00D41EC6" w:rsidRDefault="00D41EC6" w:rsidP="00DC6E18">
      <w:pPr>
        <w:rPr>
          <w:rFonts w:asciiTheme="majorHAnsi" w:hAnsiTheme="majorHAnsi" w:cs="Times New Roman"/>
          <w:b/>
          <w:iCs/>
          <w:sz w:val="22"/>
          <w:szCs w:val="22"/>
        </w:rPr>
      </w:pPr>
    </w:p>
    <w:p w14:paraId="265E4F13" w14:textId="788BCDB3" w:rsidR="00B241A4" w:rsidRPr="00D41EC6" w:rsidRDefault="00B94DF9" w:rsidP="00973012">
      <w:pPr>
        <w:rPr>
          <w:rFonts w:asciiTheme="majorHAnsi" w:hAnsiTheme="majorHAnsi" w:cs="Times New Roman"/>
          <w:b/>
          <w:iCs/>
        </w:rPr>
      </w:pPr>
      <w:r w:rsidRPr="00D41EC6">
        <w:rPr>
          <w:rFonts w:asciiTheme="majorHAnsi" w:hAnsiTheme="majorHAnsi" w:cs="Times New Roman"/>
          <w:b/>
          <w:iCs/>
        </w:rPr>
        <w:t>Immunology</w:t>
      </w:r>
    </w:p>
    <w:p w14:paraId="6EA1CA61" w14:textId="6C711E88" w:rsidR="00867B97" w:rsidRPr="00D41EC6" w:rsidRDefault="00867B97" w:rsidP="00867B97">
      <w:pPr>
        <w:pStyle w:val="mc-p"/>
        <w:rPr>
          <w:rFonts w:asciiTheme="majorHAnsi" w:hAnsiTheme="majorHAnsi" w:cstheme="majorHAnsi"/>
          <w:color w:val="000000" w:themeColor="text1"/>
          <w:sz w:val="22"/>
          <w:szCs w:val="22"/>
          <w:shd w:val="clear" w:color="auto" w:fill="FFFFFF"/>
        </w:rPr>
      </w:pPr>
      <w:r w:rsidRPr="00D41EC6">
        <w:rPr>
          <w:rFonts w:asciiTheme="majorHAnsi" w:hAnsiTheme="majorHAnsi" w:cstheme="majorHAnsi"/>
          <w:color w:val="000000" w:themeColor="text1"/>
          <w:sz w:val="22"/>
          <w:szCs w:val="22"/>
          <w:shd w:val="clear" w:color="auto" w:fill="FFFFFF"/>
        </w:rPr>
        <w:t>Critically describe the different complement pathways including regulatory mechanisms and associated defects.</w:t>
      </w:r>
    </w:p>
    <w:p w14:paraId="02701D80" w14:textId="77777777" w:rsidR="00867B97" w:rsidRPr="00D41EC6" w:rsidRDefault="00867B97" w:rsidP="00867B97">
      <w:pPr>
        <w:pStyle w:val="mc-p"/>
        <w:rPr>
          <w:rFonts w:asciiTheme="majorHAnsi" w:hAnsiTheme="majorHAnsi" w:cstheme="majorHAnsi"/>
          <w:color w:val="000000" w:themeColor="text1"/>
          <w:sz w:val="22"/>
          <w:szCs w:val="22"/>
        </w:rPr>
      </w:pPr>
    </w:p>
    <w:p w14:paraId="4FDDE4C5" w14:textId="4AAD3A92" w:rsidR="00867B97" w:rsidRPr="00D41EC6" w:rsidRDefault="00867B97" w:rsidP="00867B97">
      <w:pPr>
        <w:pStyle w:val="elementtoproof"/>
        <w:spacing w:before="0" w:beforeAutospacing="0" w:after="0" w:afterAutospacing="0"/>
        <w:rPr>
          <w:rFonts w:asciiTheme="majorHAnsi" w:hAnsiTheme="majorHAnsi" w:cstheme="majorHAnsi"/>
          <w:color w:val="000000" w:themeColor="text1"/>
          <w:sz w:val="22"/>
          <w:szCs w:val="22"/>
        </w:rPr>
      </w:pPr>
      <w:r w:rsidRPr="00D41EC6">
        <w:rPr>
          <w:rFonts w:asciiTheme="majorHAnsi" w:hAnsiTheme="majorHAnsi" w:cstheme="majorHAnsi"/>
          <w:color w:val="000000" w:themeColor="text1"/>
          <w:sz w:val="22"/>
          <w:szCs w:val="22"/>
          <w:shd w:val="clear" w:color="auto" w:fill="FFFFFF"/>
        </w:rPr>
        <w:t>Critically appraise assays available for the diagnosis of myeloma.</w:t>
      </w:r>
    </w:p>
    <w:p w14:paraId="7492CEA8" w14:textId="77777777" w:rsidR="00A04DED" w:rsidRPr="00D41EC6" w:rsidRDefault="00A04DED" w:rsidP="00973012">
      <w:pPr>
        <w:rPr>
          <w:rFonts w:asciiTheme="majorHAnsi" w:hAnsiTheme="majorHAnsi"/>
          <w:b/>
          <w:sz w:val="22"/>
          <w:szCs w:val="22"/>
        </w:rPr>
      </w:pPr>
    </w:p>
    <w:p w14:paraId="28A04060" w14:textId="77777777" w:rsidR="00895BB2" w:rsidRPr="00D41EC6" w:rsidRDefault="00895BB2" w:rsidP="00973012">
      <w:pPr>
        <w:rPr>
          <w:rFonts w:asciiTheme="majorHAnsi" w:hAnsiTheme="majorHAnsi"/>
          <w:b/>
          <w:sz w:val="22"/>
          <w:szCs w:val="22"/>
        </w:rPr>
      </w:pPr>
    </w:p>
    <w:p w14:paraId="0B0C5E67" w14:textId="77777777" w:rsidR="000B7BC5" w:rsidRPr="00D41EC6" w:rsidRDefault="000C3A09" w:rsidP="00B241A4">
      <w:pPr>
        <w:rPr>
          <w:rFonts w:asciiTheme="majorHAnsi" w:hAnsiTheme="majorHAnsi"/>
          <w:b/>
          <w:sz w:val="22"/>
          <w:szCs w:val="22"/>
        </w:rPr>
      </w:pPr>
      <w:r w:rsidRPr="00D41EC6">
        <w:rPr>
          <w:rFonts w:asciiTheme="majorHAnsi" w:hAnsiTheme="majorHAnsi"/>
          <w:b/>
        </w:rPr>
        <w:t>Leadership and Management</w:t>
      </w:r>
    </w:p>
    <w:p w14:paraId="79216F91" w14:textId="77777777" w:rsidR="00D41EC6" w:rsidRPr="00D41EC6" w:rsidRDefault="00D41EC6" w:rsidP="00D41EC6">
      <w:pPr>
        <w:spacing w:after="160" w:line="259" w:lineRule="auto"/>
        <w:rPr>
          <w:sz w:val="22"/>
          <w:szCs w:val="22"/>
        </w:rPr>
      </w:pPr>
      <w:r w:rsidRPr="00D41EC6">
        <w:rPr>
          <w:sz w:val="22"/>
          <w:szCs w:val="22"/>
        </w:rPr>
        <w:t>Critically evaluate the implications for a laboratory if staff request to work from home. Discuss the various issues and come to a conclusion about the feasibility of this, or not.</w:t>
      </w:r>
    </w:p>
    <w:p w14:paraId="0A7D9D28" w14:textId="2E8AD5EA" w:rsidR="00895BB2" w:rsidRPr="00D41EC6" w:rsidRDefault="00D41EC6" w:rsidP="00D41EC6">
      <w:pPr>
        <w:rPr>
          <w:rFonts w:asciiTheme="majorHAnsi" w:hAnsiTheme="majorHAnsi"/>
          <w:b/>
          <w:sz w:val="22"/>
          <w:szCs w:val="22"/>
        </w:rPr>
      </w:pPr>
      <w:r w:rsidRPr="00D41EC6">
        <w:rPr>
          <w:color w:val="242424"/>
          <w:sz w:val="22"/>
          <w:szCs w:val="22"/>
          <w:shd w:val="clear" w:color="auto" w:fill="FFFFFF"/>
        </w:rPr>
        <w:t>Contrast how would you manage the career development and progression of a highly motivated laboratory support worker and a long serving senior staff member who is having difficulty achieving competences and reluctant to take up any development opportunities</w:t>
      </w:r>
    </w:p>
    <w:p w14:paraId="6E729DE9" w14:textId="77777777" w:rsidR="00A04DED" w:rsidRPr="00D41EC6" w:rsidRDefault="00A04DED" w:rsidP="00A04DED">
      <w:pPr>
        <w:rPr>
          <w:rFonts w:asciiTheme="majorHAnsi" w:hAnsiTheme="majorHAnsi"/>
          <w:b/>
          <w:sz w:val="22"/>
          <w:szCs w:val="22"/>
        </w:rPr>
      </w:pPr>
    </w:p>
    <w:p w14:paraId="0E989545" w14:textId="77777777" w:rsidR="00867B97" w:rsidRPr="00D41EC6" w:rsidRDefault="00867B97" w:rsidP="00A04DED">
      <w:pPr>
        <w:rPr>
          <w:rFonts w:asciiTheme="majorHAnsi" w:hAnsiTheme="majorHAnsi"/>
          <w:b/>
          <w:sz w:val="22"/>
          <w:szCs w:val="22"/>
        </w:rPr>
      </w:pPr>
    </w:p>
    <w:p w14:paraId="530110B1" w14:textId="79961B0C" w:rsidR="00A04DED" w:rsidRPr="00D41EC6" w:rsidRDefault="00A3650B" w:rsidP="00A04DED">
      <w:pPr>
        <w:rPr>
          <w:rFonts w:asciiTheme="majorHAnsi" w:hAnsiTheme="majorHAnsi"/>
          <w:b/>
        </w:rPr>
      </w:pPr>
      <w:r w:rsidRPr="00D41EC6">
        <w:rPr>
          <w:rFonts w:asciiTheme="majorHAnsi" w:hAnsiTheme="majorHAnsi"/>
          <w:b/>
        </w:rPr>
        <w:t>Medical Microbiology</w:t>
      </w:r>
    </w:p>
    <w:p w14:paraId="2BCFEAB5" w14:textId="77777777" w:rsidR="00867B97" w:rsidRPr="00D41EC6" w:rsidRDefault="00867B97" w:rsidP="00867B97">
      <w:pPr>
        <w:spacing w:line="252" w:lineRule="auto"/>
        <w:rPr>
          <w:rFonts w:eastAsia="Times New Roman"/>
          <w:sz w:val="22"/>
          <w:szCs w:val="22"/>
        </w:rPr>
      </w:pPr>
      <w:r w:rsidRPr="00D41EC6">
        <w:rPr>
          <w:rFonts w:eastAsia="Times New Roman"/>
          <w:sz w:val="22"/>
          <w:szCs w:val="22"/>
        </w:rPr>
        <w:t xml:space="preserve">Discuss a change in approach to Genital microbiology to include appropriate diagnosis for transgender patients. </w:t>
      </w:r>
    </w:p>
    <w:p w14:paraId="20D99D34" w14:textId="77777777" w:rsidR="00867B97" w:rsidRPr="00D41EC6" w:rsidRDefault="00867B97" w:rsidP="00867B97">
      <w:pPr>
        <w:spacing w:line="252" w:lineRule="auto"/>
        <w:rPr>
          <w:rFonts w:eastAsia="Times New Roman"/>
          <w:sz w:val="22"/>
          <w:szCs w:val="22"/>
        </w:rPr>
      </w:pPr>
    </w:p>
    <w:p w14:paraId="359C5453" w14:textId="0ACEBCD8" w:rsidR="00A04DED" w:rsidRPr="00D41EC6" w:rsidRDefault="00867B97" w:rsidP="00867B97">
      <w:pPr>
        <w:spacing w:line="252" w:lineRule="auto"/>
        <w:rPr>
          <w:rFonts w:eastAsia="Times New Roman"/>
          <w:sz w:val="22"/>
          <w:szCs w:val="22"/>
        </w:rPr>
      </w:pPr>
      <w:r w:rsidRPr="00D41EC6">
        <w:rPr>
          <w:rFonts w:eastAsia="Times New Roman"/>
          <w:sz w:val="22"/>
          <w:szCs w:val="22"/>
        </w:rPr>
        <w:t xml:space="preserve">The UKHSA pathogen genomics strategy was published in January 2024 in recognition of the important role that pathogen genomics has in modern infectious disease prevention and control and public health protection. Discuss the development and future scope of molecular testing within bacteriology. </w:t>
      </w:r>
    </w:p>
    <w:p w14:paraId="2BB85E7C" w14:textId="77777777" w:rsidR="00895BB2" w:rsidRDefault="00895BB2" w:rsidP="003118F0">
      <w:pPr>
        <w:rPr>
          <w:b/>
        </w:rPr>
      </w:pPr>
    </w:p>
    <w:p w14:paraId="54687145" w14:textId="77777777" w:rsidR="00D41EC6" w:rsidRPr="00D41EC6" w:rsidRDefault="00D41EC6" w:rsidP="003118F0">
      <w:pPr>
        <w:rPr>
          <w:b/>
        </w:rPr>
      </w:pPr>
    </w:p>
    <w:p w14:paraId="191D2BAC" w14:textId="1ACCDF42" w:rsidR="003118F0" w:rsidRPr="00D41EC6" w:rsidRDefault="00172EF6" w:rsidP="003118F0">
      <w:pPr>
        <w:rPr>
          <w:b/>
        </w:rPr>
      </w:pPr>
      <w:r w:rsidRPr="00D41EC6">
        <w:rPr>
          <w:b/>
        </w:rPr>
        <w:t>Transfusion Science</w:t>
      </w:r>
    </w:p>
    <w:p w14:paraId="67076BDA" w14:textId="77777777" w:rsidR="00867B97" w:rsidRPr="00D41EC6" w:rsidRDefault="00867B97" w:rsidP="00867B97">
      <w:pPr>
        <w:pStyle w:val="paragraph"/>
        <w:spacing w:before="0" w:beforeAutospacing="0" w:after="0" w:afterAutospacing="0"/>
        <w:textAlignment w:val="baseline"/>
        <w:rPr>
          <w:rFonts w:asciiTheme="majorHAnsi" w:eastAsia="Times New Roman" w:hAnsiTheme="majorHAnsi" w:cstheme="majorHAnsi"/>
        </w:rPr>
      </w:pPr>
      <w:r w:rsidRPr="00D41EC6">
        <w:rPr>
          <w:rStyle w:val="normaltextrun"/>
          <w:rFonts w:asciiTheme="majorHAnsi" w:eastAsia="Times New Roman" w:hAnsiTheme="majorHAnsi" w:cstheme="majorHAnsi"/>
        </w:rPr>
        <w:t>Describe, in detail, the major antigens of the Rh blood group system (</w:t>
      </w:r>
      <w:proofErr w:type="spellStart"/>
      <w:r w:rsidRPr="00D41EC6">
        <w:rPr>
          <w:rStyle w:val="normaltextrun"/>
          <w:rFonts w:asciiTheme="majorHAnsi" w:eastAsia="Times New Roman" w:hAnsiTheme="majorHAnsi" w:cstheme="majorHAnsi"/>
        </w:rPr>
        <w:t>cCDEe</w:t>
      </w:r>
      <w:proofErr w:type="spellEnd"/>
      <w:r w:rsidRPr="00D41EC6">
        <w:rPr>
          <w:rStyle w:val="normaltextrun"/>
          <w:rFonts w:asciiTheme="majorHAnsi" w:eastAsia="Times New Roman" w:hAnsiTheme="majorHAnsi" w:cstheme="majorHAnsi"/>
        </w:rPr>
        <w:t xml:space="preserve">) and the clinical significance of their corresponding antibodies in terms of haemolytic disease of the </w:t>
      </w:r>
      <w:proofErr w:type="spellStart"/>
      <w:r w:rsidRPr="00D41EC6">
        <w:rPr>
          <w:rStyle w:val="normaltextrun"/>
          <w:rFonts w:asciiTheme="majorHAnsi" w:eastAsia="Times New Roman" w:hAnsiTheme="majorHAnsi" w:cstheme="majorHAnsi"/>
        </w:rPr>
        <w:t>fetus</w:t>
      </w:r>
      <w:proofErr w:type="spellEnd"/>
      <w:r w:rsidRPr="00D41EC6">
        <w:rPr>
          <w:rStyle w:val="normaltextrun"/>
          <w:rFonts w:asciiTheme="majorHAnsi" w:eastAsia="Times New Roman" w:hAnsiTheme="majorHAnsi" w:cstheme="majorHAnsi"/>
        </w:rPr>
        <w:t xml:space="preserve"> and newborn. </w:t>
      </w:r>
      <w:r w:rsidRPr="00D41EC6">
        <w:rPr>
          <w:rStyle w:val="normaltextrun"/>
          <w:rFonts w:asciiTheme="majorHAnsi" w:eastAsia="Times New Roman" w:hAnsiTheme="majorHAnsi" w:cstheme="majorHAnsi"/>
          <w:color w:val="000000"/>
        </w:rPr>
        <w:t>Include details surrounding the prevention of HDFN, and the management of HDFN affected pregnancies.</w:t>
      </w:r>
      <w:r w:rsidRPr="00D41EC6">
        <w:rPr>
          <w:rStyle w:val="eop"/>
          <w:rFonts w:asciiTheme="majorHAnsi" w:eastAsia="Times New Roman" w:hAnsiTheme="majorHAnsi" w:cstheme="majorHAnsi"/>
          <w:color w:val="000000"/>
        </w:rPr>
        <w:t xml:space="preserve"> </w:t>
      </w:r>
    </w:p>
    <w:p w14:paraId="750426F1" w14:textId="77777777" w:rsidR="00867B97" w:rsidRPr="00D41EC6" w:rsidRDefault="00867B97" w:rsidP="00867B97">
      <w:pPr>
        <w:pStyle w:val="paragraph"/>
        <w:spacing w:before="0" w:beforeAutospacing="0" w:after="0" w:afterAutospacing="0"/>
        <w:textAlignment w:val="baseline"/>
        <w:rPr>
          <w:rFonts w:asciiTheme="majorHAnsi" w:hAnsiTheme="majorHAnsi" w:cstheme="majorHAnsi"/>
        </w:rPr>
      </w:pPr>
    </w:p>
    <w:p w14:paraId="61BB1DCA" w14:textId="7A98BFE3" w:rsidR="00A04DED" w:rsidRPr="00D41EC6" w:rsidRDefault="00867B97" w:rsidP="00867B97">
      <w:pPr>
        <w:pStyle w:val="paragraph"/>
        <w:spacing w:before="0" w:beforeAutospacing="0" w:after="0" w:afterAutospacing="0"/>
        <w:textAlignment w:val="baseline"/>
        <w:rPr>
          <w:rFonts w:asciiTheme="majorHAnsi" w:eastAsia="Times New Roman" w:hAnsiTheme="majorHAnsi" w:cstheme="majorHAnsi"/>
        </w:rPr>
      </w:pPr>
      <w:r w:rsidRPr="00D41EC6">
        <w:rPr>
          <w:rStyle w:val="normaltextrun"/>
          <w:rFonts w:asciiTheme="majorHAnsi" w:eastAsia="Times New Roman" w:hAnsiTheme="majorHAnsi" w:cstheme="majorHAnsi"/>
        </w:rPr>
        <w:t>Critically discuss how you would plan to introduce a new blood grouping analyser into the laboratory with regards to current published guidance. Describe, in detail, the steps that must be taken before putting it into routine use and how its ongoing effectiveness would be monitored.</w:t>
      </w:r>
      <w:r w:rsidRPr="00D41EC6">
        <w:rPr>
          <w:rStyle w:val="eop"/>
          <w:rFonts w:asciiTheme="majorHAnsi" w:eastAsia="Times New Roman" w:hAnsiTheme="majorHAnsi" w:cstheme="majorHAnsi"/>
        </w:rPr>
        <w:t xml:space="preserve"> </w:t>
      </w:r>
    </w:p>
    <w:p w14:paraId="305839B2" w14:textId="77777777" w:rsidR="00895BB2" w:rsidRDefault="00895BB2" w:rsidP="00B355F5">
      <w:pPr>
        <w:rPr>
          <w:b/>
          <w:sz w:val="22"/>
          <w:szCs w:val="22"/>
        </w:rPr>
      </w:pPr>
    </w:p>
    <w:p w14:paraId="17FDF2DB" w14:textId="77777777" w:rsidR="00D41EC6" w:rsidRPr="00D41EC6" w:rsidRDefault="00D41EC6" w:rsidP="00B355F5">
      <w:pPr>
        <w:rPr>
          <w:b/>
          <w:sz w:val="22"/>
          <w:szCs w:val="22"/>
        </w:rPr>
      </w:pPr>
    </w:p>
    <w:p w14:paraId="331BD899" w14:textId="12E44498" w:rsidR="003118F0" w:rsidRPr="00D41EC6" w:rsidRDefault="009C6732" w:rsidP="00867B97">
      <w:pPr>
        <w:rPr>
          <w:b/>
        </w:rPr>
      </w:pPr>
      <w:r w:rsidRPr="00D41EC6">
        <w:rPr>
          <w:b/>
        </w:rPr>
        <w:t>Virology</w:t>
      </w:r>
    </w:p>
    <w:p w14:paraId="5273B9A4" w14:textId="0819851F" w:rsidR="00867B97" w:rsidRPr="00D41EC6" w:rsidRDefault="00867B97" w:rsidP="00867B97">
      <w:pPr>
        <w:rPr>
          <w:rFonts w:ascii="Aptos" w:hAnsi="Aptos" w:cs="Aptos"/>
          <w:sz w:val="22"/>
          <w:szCs w:val="22"/>
        </w:rPr>
      </w:pPr>
      <w:r w:rsidRPr="00D41EC6">
        <w:rPr>
          <w:sz w:val="22"/>
          <w:szCs w:val="22"/>
        </w:rPr>
        <w:t>Discuss the current and potential future role for Point of Care Testing in clinical virology.</w:t>
      </w:r>
    </w:p>
    <w:p w14:paraId="3CA5996D" w14:textId="77777777" w:rsidR="00867B97" w:rsidRPr="00D41EC6" w:rsidRDefault="00867B97" w:rsidP="00867B97">
      <w:pPr>
        <w:rPr>
          <w:sz w:val="22"/>
          <w:szCs w:val="22"/>
        </w:rPr>
      </w:pPr>
    </w:p>
    <w:p w14:paraId="37FBC410" w14:textId="70A9C160" w:rsidR="00867B97" w:rsidRPr="00D41EC6" w:rsidRDefault="00867B97" w:rsidP="00867B97">
      <w:pPr>
        <w:rPr>
          <w:sz w:val="22"/>
          <w:szCs w:val="22"/>
        </w:rPr>
      </w:pPr>
      <w:r w:rsidRPr="00D41EC6">
        <w:rPr>
          <w:sz w:val="22"/>
          <w:szCs w:val="22"/>
        </w:rPr>
        <w:t>Critically analyse the re-emergence of measles in Europe, including factors driving it, possible consequences, and the impact on diagnostic services.</w:t>
      </w:r>
    </w:p>
    <w:p w14:paraId="7C5F6CE7" w14:textId="77777777" w:rsidR="00867B97" w:rsidRDefault="00867B97" w:rsidP="00B355F5">
      <w:pPr>
        <w:rPr>
          <w:b/>
          <w:sz w:val="28"/>
        </w:rPr>
      </w:pPr>
    </w:p>
    <w:sectPr w:rsidR="00867B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0A5A" w14:textId="77777777" w:rsidR="00B241A4" w:rsidRDefault="00B241A4" w:rsidP="00AC52AF">
      <w:r>
        <w:separator/>
      </w:r>
    </w:p>
  </w:endnote>
  <w:endnote w:type="continuationSeparator" w:id="0">
    <w:p w14:paraId="496D8F55" w14:textId="77777777"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8FA8" w14:textId="6F0F2FA1" w:rsidR="00B241A4" w:rsidRPr="008B49AE" w:rsidRDefault="00B241A4">
    <w:pPr>
      <w:pStyle w:val="Footer"/>
      <w:rPr>
        <w:sz w:val="20"/>
        <w:szCs w:val="20"/>
      </w:rPr>
    </w:pPr>
    <w:r w:rsidRPr="00FB5517">
      <w:rPr>
        <w:sz w:val="20"/>
        <w:szCs w:val="20"/>
      </w:rPr>
      <w:t xml:space="preserve">HSD Essay Titles </w:t>
    </w:r>
    <w:r>
      <w:rPr>
        <w:sz w:val="20"/>
        <w:szCs w:val="20"/>
      </w:rPr>
      <w:t>for Portfolio Submission in 202</w:t>
    </w:r>
    <w:r w:rsidR="00867B97">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5C0AC" w14:textId="77777777" w:rsidR="00B241A4" w:rsidRDefault="00B241A4" w:rsidP="00AC52AF">
      <w:r>
        <w:separator/>
      </w:r>
    </w:p>
  </w:footnote>
  <w:footnote w:type="continuationSeparator" w:id="0">
    <w:p w14:paraId="12063FF2" w14:textId="77777777" w:rsidR="00B241A4" w:rsidRDefault="00B241A4" w:rsidP="00AC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01EE6"/>
    <w:multiLevelType w:val="multilevel"/>
    <w:tmpl w:val="353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32F8F"/>
    <w:multiLevelType w:val="hybridMultilevel"/>
    <w:tmpl w:val="64B4C13A"/>
    <w:styleLink w:val="Numbered"/>
    <w:lvl w:ilvl="0" w:tplc="6A1C5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92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8B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D43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032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A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680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E26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2B8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572654"/>
    <w:multiLevelType w:val="hybridMultilevel"/>
    <w:tmpl w:val="C4267336"/>
    <w:lvl w:ilvl="0" w:tplc="1EBED958">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AE2316"/>
    <w:multiLevelType w:val="hybridMultilevel"/>
    <w:tmpl w:val="6A827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842295">
    <w:abstractNumId w:val="0"/>
  </w:num>
  <w:num w:numId="2" w16cid:durableId="1162041199">
    <w:abstractNumId w:val="1"/>
  </w:num>
  <w:num w:numId="3" w16cid:durableId="506555742">
    <w:abstractNumId w:val="5"/>
  </w:num>
  <w:num w:numId="4" w16cid:durableId="1292973914">
    <w:abstractNumId w:val="3"/>
  </w:num>
  <w:num w:numId="5" w16cid:durableId="1165705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160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3062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872"/>
    <w:rsid w:val="000002CE"/>
    <w:rsid w:val="00046815"/>
    <w:rsid w:val="00054FFC"/>
    <w:rsid w:val="000634CB"/>
    <w:rsid w:val="00071A6B"/>
    <w:rsid w:val="000B7BC5"/>
    <w:rsid w:val="000C3692"/>
    <w:rsid w:val="000C3A09"/>
    <w:rsid w:val="00101799"/>
    <w:rsid w:val="00105A54"/>
    <w:rsid w:val="001063E5"/>
    <w:rsid w:val="001300B4"/>
    <w:rsid w:val="00160F3D"/>
    <w:rsid w:val="00172EF6"/>
    <w:rsid w:val="001F061E"/>
    <w:rsid w:val="0028526D"/>
    <w:rsid w:val="002946E1"/>
    <w:rsid w:val="002D1F85"/>
    <w:rsid w:val="003118F0"/>
    <w:rsid w:val="0031339D"/>
    <w:rsid w:val="00315AF0"/>
    <w:rsid w:val="0032393E"/>
    <w:rsid w:val="00395EC9"/>
    <w:rsid w:val="003B7D33"/>
    <w:rsid w:val="003D7B58"/>
    <w:rsid w:val="004019AE"/>
    <w:rsid w:val="00440CA4"/>
    <w:rsid w:val="004B42B7"/>
    <w:rsid w:val="004D71EC"/>
    <w:rsid w:val="004E4B8B"/>
    <w:rsid w:val="004E7182"/>
    <w:rsid w:val="00520FD3"/>
    <w:rsid w:val="00524260"/>
    <w:rsid w:val="00567E5E"/>
    <w:rsid w:val="005F181D"/>
    <w:rsid w:val="006013F9"/>
    <w:rsid w:val="00601FEE"/>
    <w:rsid w:val="00617918"/>
    <w:rsid w:val="00643654"/>
    <w:rsid w:val="00653138"/>
    <w:rsid w:val="00680F60"/>
    <w:rsid w:val="006811EB"/>
    <w:rsid w:val="006968F3"/>
    <w:rsid w:val="006E210A"/>
    <w:rsid w:val="006E6181"/>
    <w:rsid w:val="00704402"/>
    <w:rsid w:val="007461E7"/>
    <w:rsid w:val="00793FD5"/>
    <w:rsid w:val="007B30AD"/>
    <w:rsid w:val="007B6A01"/>
    <w:rsid w:val="007C04A6"/>
    <w:rsid w:val="007C1531"/>
    <w:rsid w:val="007D6C87"/>
    <w:rsid w:val="008125F6"/>
    <w:rsid w:val="00813503"/>
    <w:rsid w:val="00836289"/>
    <w:rsid w:val="00841EC0"/>
    <w:rsid w:val="00867B97"/>
    <w:rsid w:val="00882872"/>
    <w:rsid w:val="00890150"/>
    <w:rsid w:val="0089288C"/>
    <w:rsid w:val="00895BB2"/>
    <w:rsid w:val="008B16F2"/>
    <w:rsid w:val="008B49AE"/>
    <w:rsid w:val="008C1A81"/>
    <w:rsid w:val="00936FB7"/>
    <w:rsid w:val="00940B25"/>
    <w:rsid w:val="00942021"/>
    <w:rsid w:val="00973012"/>
    <w:rsid w:val="009C6732"/>
    <w:rsid w:val="00A0230B"/>
    <w:rsid w:val="00A04DED"/>
    <w:rsid w:val="00A34F5A"/>
    <w:rsid w:val="00A3650B"/>
    <w:rsid w:val="00A3669A"/>
    <w:rsid w:val="00A80B6F"/>
    <w:rsid w:val="00AB269E"/>
    <w:rsid w:val="00AC52AF"/>
    <w:rsid w:val="00B241A4"/>
    <w:rsid w:val="00B355F5"/>
    <w:rsid w:val="00B94DF9"/>
    <w:rsid w:val="00B97000"/>
    <w:rsid w:val="00C04A56"/>
    <w:rsid w:val="00C135A2"/>
    <w:rsid w:val="00C43668"/>
    <w:rsid w:val="00CE4772"/>
    <w:rsid w:val="00CF2D2E"/>
    <w:rsid w:val="00D41EC6"/>
    <w:rsid w:val="00DC6E18"/>
    <w:rsid w:val="00E44C46"/>
    <w:rsid w:val="00E4576F"/>
    <w:rsid w:val="00E63730"/>
    <w:rsid w:val="00EA2BAC"/>
    <w:rsid w:val="00EB1526"/>
    <w:rsid w:val="00EB6B56"/>
    <w:rsid w:val="00F12809"/>
    <w:rsid w:val="00F65E9F"/>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991"/>
  <w15:docId w15:val="{51591D09-292D-4355-BFDE-3E8408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 w:type="paragraph" w:customStyle="1" w:styleId="Body">
    <w:name w:val="Body"/>
    <w:rsid w:val="003118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3118F0"/>
    <w:pPr>
      <w:numPr>
        <w:numId w:val="4"/>
      </w:numPr>
    </w:pPr>
  </w:style>
  <w:style w:type="character" w:customStyle="1" w:styleId="authors">
    <w:name w:val="authors"/>
    <w:basedOn w:val="DefaultParagraphFont"/>
    <w:rsid w:val="00E63730"/>
  </w:style>
  <w:style w:type="character" w:customStyle="1" w:styleId="Date1">
    <w:name w:val="Date1"/>
    <w:basedOn w:val="DefaultParagraphFont"/>
    <w:rsid w:val="00E63730"/>
  </w:style>
  <w:style w:type="character" w:customStyle="1" w:styleId="arttitle">
    <w:name w:val="art_title"/>
    <w:basedOn w:val="DefaultParagraphFont"/>
    <w:rsid w:val="00E63730"/>
  </w:style>
  <w:style w:type="character" w:customStyle="1" w:styleId="serialtitle">
    <w:name w:val="serial_title"/>
    <w:basedOn w:val="DefaultParagraphFont"/>
    <w:rsid w:val="00E63730"/>
  </w:style>
  <w:style w:type="character" w:customStyle="1" w:styleId="volumeissue">
    <w:name w:val="volume_issue"/>
    <w:basedOn w:val="DefaultParagraphFont"/>
    <w:rsid w:val="00E63730"/>
  </w:style>
  <w:style w:type="character" w:customStyle="1" w:styleId="pagerange">
    <w:name w:val="page_range"/>
    <w:basedOn w:val="DefaultParagraphFont"/>
    <w:rsid w:val="00E63730"/>
  </w:style>
  <w:style w:type="character" w:customStyle="1" w:styleId="doilink">
    <w:name w:val="doi_link"/>
    <w:basedOn w:val="DefaultParagraphFont"/>
    <w:rsid w:val="00E63730"/>
  </w:style>
  <w:style w:type="character" w:customStyle="1" w:styleId="commaitem">
    <w:name w:val="comma__item"/>
    <w:basedOn w:val="DefaultParagraphFont"/>
    <w:rsid w:val="00E63730"/>
  </w:style>
  <w:style w:type="paragraph" w:customStyle="1" w:styleId="xmsonormal">
    <w:name w:val="x_msonormal"/>
    <w:basedOn w:val="Normal"/>
    <w:rsid w:val="00E63730"/>
    <w:rPr>
      <w:sz w:val="22"/>
      <w:szCs w:val="22"/>
      <w:lang w:eastAsia="en-GB"/>
    </w:rPr>
  </w:style>
  <w:style w:type="paragraph" w:customStyle="1" w:styleId="xmsolistparagraph">
    <w:name w:val="x_msolistparagraph"/>
    <w:basedOn w:val="Normal"/>
    <w:rsid w:val="00E63730"/>
    <w:pPr>
      <w:ind w:left="720"/>
    </w:pPr>
    <w:rPr>
      <w:sz w:val="22"/>
      <w:szCs w:val="22"/>
      <w:lang w:eastAsia="en-GB"/>
    </w:rPr>
  </w:style>
  <w:style w:type="character" w:styleId="UnresolvedMention">
    <w:name w:val="Unresolved Mention"/>
    <w:basedOn w:val="DefaultParagraphFont"/>
    <w:uiPriority w:val="99"/>
    <w:semiHidden/>
    <w:unhideWhenUsed/>
    <w:rsid w:val="00046815"/>
    <w:rPr>
      <w:color w:val="605E5C"/>
      <w:shd w:val="clear" w:color="auto" w:fill="E1DFDD"/>
    </w:rPr>
  </w:style>
  <w:style w:type="paragraph" w:customStyle="1" w:styleId="gmail-m-2629213472477507277msolistparagraph">
    <w:name w:val="gmail-m_-2629213472477507277msolistparagraph"/>
    <w:basedOn w:val="Normal"/>
    <w:rsid w:val="00A04DED"/>
    <w:pPr>
      <w:spacing w:before="100" w:beforeAutospacing="1" w:after="100" w:afterAutospacing="1"/>
    </w:pPr>
    <w:rPr>
      <w:sz w:val="22"/>
      <w:szCs w:val="22"/>
      <w:lang w:eastAsia="en-GB"/>
    </w:rPr>
  </w:style>
  <w:style w:type="character" w:customStyle="1" w:styleId="contentpasted0">
    <w:name w:val="contentpasted0"/>
    <w:basedOn w:val="DefaultParagraphFont"/>
    <w:rsid w:val="00895BB2"/>
  </w:style>
  <w:style w:type="paragraph" w:customStyle="1" w:styleId="mc-p">
    <w:name w:val="mc-p___"/>
    <w:basedOn w:val="Normal"/>
    <w:rsid w:val="00867B97"/>
    <w:rPr>
      <w:rFonts w:ascii="Aptos" w:hAnsi="Aptos" w:cs="Aptos"/>
      <w:lang w:eastAsia="en-GB"/>
    </w:rPr>
  </w:style>
  <w:style w:type="paragraph" w:customStyle="1" w:styleId="elementtoproof">
    <w:name w:val="elementtoproof"/>
    <w:basedOn w:val="Normal"/>
    <w:rsid w:val="00867B97"/>
    <w:pPr>
      <w:spacing w:before="100" w:beforeAutospacing="1" w:after="100" w:afterAutospacing="1"/>
    </w:pPr>
    <w:rPr>
      <w:rFonts w:ascii="Aptos" w:hAnsi="Aptos" w:cs="Aptos"/>
      <w:lang w:eastAsia="en-GB"/>
    </w:rPr>
  </w:style>
  <w:style w:type="paragraph" w:customStyle="1" w:styleId="paragraph">
    <w:name w:val="paragraph"/>
    <w:basedOn w:val="Normal"/>
    <w:rsid w:val="00867B97"/>
    <w:pPr>
      <w:spacing w:before="100" w:beforeAutospacing="1" w:after="100" w:afterAutospacing="1"/>
    </w:pPr>
    <w:rPr>
      <w:sz w:val="22"/>
      <w:szCs w:val="22"/>
      <w:lang w:eastAsia="en-GB"/>
    </w:rPr>
  </w:style>
  <w:style w:type="character" w:customStyle="1" w:styleId="normaltextrun">
    <w:name w:val="normaltextrun"/>
    <w:basedOn w:val="DefaultParagraphFont"/>
    <w:rsid w:val="00867B97"/>
  </w:style>
  <w:style w:type="character" w:customStyle="1" w:styleId="eop">
    <w:name w:val="eop"/>
    <w:basedOn w:val="DefaultParagraphFont"/>
    <w:rsid w:val="0086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07238224">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136649580">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19789503">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447503518">
      <w:bodyDiv w:val="1"/>
      <w:marLeft w:val="0"/>
      <w:marRight w:val="0"/>
      <w:marTop w:val="0"/>
      <w:marBottom w:val="0"/>
      <w:divBdr>
        <w:top w:val="none" w:sz="0" w:space="0" w:color="auto"/>
        <w:left w:val="none" w:sz="0" w:space="0" w:color="auto"/>
        <w:bottom w:val="none" w:sz="0" w:space="0" w:color="auto"/>
        <w:right w:val="none" w:sz="0" w:space="0" w:color="auto"/>
      </w:divBdr>
    </w:div>
    <w:div w:id="520433645">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28180166">
      <w:bodyDiv w:val="1"/>
      <w:marLeft w:val="0"/>
      <w:marRight w:val="0"/>
      <w:marTop w:val="0"/>
      <w:marBottom w:val="0"/>
      <w:divBdr>
        <w:top w:val="none" w:sz="0" w:space="0" w:color="auto"/>
        <w:left w:val="none" w:sz="0" w:space="0" w:color="auto"/>
        <w:bottom w:val="none" w:sz="0" w:space="0" w:color="auto"/>
        <w:right w:val="none" w:sz="0" w:space="0" w:color="auto"/>
      </w:divBdr>
    </w:div>
    <w:div w:id="538666770">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08971027">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67103228">
      <w:bodyDiv w:val="1"/>
      <w:marLeft w:val="0"/>
      <w:marRight w:val="0"/>
      <w:marTop w:val="0"/>
      <w:marBottom w:val="0"/>
      <w:divBdr>
        <w:top w:val="none" w:sz="0" w:space="0" w:color="auto"/>
        <w:left w:val="none" w:sz="0" w:space="0" w:color="auto"/>
        <w:bottom w:val="none" w:sz="0" w:space="0" w:color="auto"/>
        <w:right w:val="none" w:sz="0" w:space="0" w:color="auto"/>
      </w:divBdr>
    </w:div>
    <w:div w:id="684474850">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744691234">
      <w:bodyDiv w:val="1"/>
      <w:marLeft w:val="0"/>
      <w:marRight w:val="0"/>
      <w:marTop w:val="0"/>
      <w:marBottom w:val="0"/>
      <w:divBdr>
        <w:top w:val="none" w:sz="0" w:space="0" w:color="auto"/>
        <w:left w:val="none" w:sz="0" w:space="0" w:color="auto"/>
        <w:bottom w:val="none" w:sz="0" w:space="0" w:color="auto"/>
        <w:right w:val="none" w:sz="0" w:space="0" w:color="auto"/>
      </w:divBdr>
    </w:div>
    <w:div w:id="830288662">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887227184">
      <w:bodyDiv w:val="1"/>
      <w:marLeft w:val="0"/>
      <w:marRight w:val="0"/>
      <w:marTop w:val="0"/>
      <w:marBottom w:val="0"/>
      <w:divBdr>
        <w:top w:val="none" w:sz="0" w:space="0" w:color="auto"/>
        <w:left w:val="none" w:sz="0" w:space="0" w:color="auto"/>
        <w:bottom w:val="none" w:sz="0" w:space="0" w:color="auto"/>
        <w:right w:val="none" w:sz="0" w:space="0" w:color="auto"/>
      </w:divBdr>
    </w:div>
    <w:div w:id="894510585">
      <w:bodyDiv w:val="1"/>
      <w:marLeft w:val="0"/>
      <w:marRight w:val="0"/>
      <w:marTop w:val="0"/>
      <w:marBottom w:val="0"/>
      <w:divBdr>
        <w:top w:val="none" w:sz="0" w:space="0" w:color="auto"/>
        <w:left w:val="none" w:sz="0" w:space="0" w:color="auto"/>
        <w:bottom w:val="none" w:sz="0" w:space="0" w:color="auto"/>
        <w:right w:val="none" w:sz="0" w:space="0" w:color="auto"/>
      </w:divBdr>
    </w:div>
    <w:div w:id="936600288">
      <w:bodyDiv w:val="1"/>
      <w:marLeft w:val="0"/>
      <w:marRight w:val="0"/>
      <w:marTop w:val="0"/>
      <w:marBottom w:val="0"/>
      <w:divBdr>
        <w:top w:val="none" w:sz="0" w:space="0" w:color="auto"/>
        <w:left w:val="none" w:sz="0" w:space="0" w:color="auto"/>
        <w:bottom w:val="none" w:sz="0" w:space="0" w:color="auto"/>
        <w:right w:val="none" w:sz="0" w:space="0" w:color="auto"/>
      </w:divBdr>
    </w:div>
    <w:div w:id="944657972">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03522954">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26988027">
      <w:bodyDiv w:val="1"/>
      <w:marLeft w:val="0"/>
      <w:marRight w:val="0"/>
      <w:marTop w:val="0"/>
      <w:marBottom w:val="0"/>
      <w:divBdr>
        <w:top w:val="none" w:sz="0" w:space="0" w:color="auto"/>
        <w:left w:val="none" w:sz="0" w:space="0" w:color="auto"/>
        <w:bottom w:val="none" w:sz="0" w:space="0" w:color="auto"/>
        <w:right w:val="none" w:sz="0" w:space="0" w:color="auto"/>
      </w:divBdr>
    </w:div>
    <w:div w:id="1229992899">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2276853">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684821274">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767189438">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859611482">
      <w:bodyDiv w:val="1"/>
      <w:marLeft w:val="0"/>
      <w:marRight w:val="0"/>
      <w:marTop w:val="0"/>
      <w:marBottom w:val="0"/>
      <w:divBdr>
        <w:top w:val="none" w:sz="0" w:space="0" w:color="auto"/>
        <w:left w:val="none" w:sz="0" w:space="0" w:color="auto"/>
        <w:bottom w:val="none" w:sz="0" w:space="0" w:color="auto"/>
        <w:right w:val="none" w:sz="0" w:space="0" w:color="auto"/>
      </w:divBdr>
    </w:div>
    <w:div w:id="1862861697">
      <w:bodyDiv w:val="1"/>
      <w:marLeft w:val="0"/>
      <w:marRight w:val="0"/>
      <w:marTop w:val="0"/>
      <w:marBottom w:val="0"/>
      <w:divBdr>
        <w:top w:val="none" w:sz="0" w:space="0" w:color="auto"/>
        <w:left w:val="none" w:sz="0" w:space="0" w:color="auto"/>
        <w:bottom w:val="none" w:sz="0" w:space="0" w:color="auto"/>
        <w:right w:val="none" w:sz="0" w:space="0" w:color="auto"/>
      </w:divBdr>
    </w:div>
    <w:div w:id="1875383932">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14927729">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1979217762">
      <w:bodyDiv w:val="1"/>
      <w:marLeft w:val="0"/>
      <w:marRight w:val="0"/>
      <w:marTop w:val="0"/>
      <w:marBottom w:val="0"/>
      <w:divBdr>
        <w:top w:val="none" w:sz="0" w:space="0" w:color="auto"/>
        <w:left w:val="none" w:sz="0" w:space="0" w:color="auto"/>
        <w:bottom w:val="none" w:sz="0" w:space="0" w:color="auto"/>
        <w:right w:val="none" w:sz="0" w:space="0" w:color="auto"/>
      </w:divBdr>
    </w:div>
    <w:div w:id="198758559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56079182">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s.org/resources/webinars/ibms-support-hubs/" TargetMode="External"/><Relationship Id="rId5" Type="http://schemas.openxmlformats.org/officeDocument/2006/relationships/webSettings" Target="webSettings.xml"/><Relationship Id="rId10" Type="http://schemas.openxmlformats.org/officeDocument/2006/relationships/hyperlink" Target="https://www.thebiomedicalscientist.net/resources/writing-right-level" TargetMode="External"/><Relationship Id="rId4" Type="http://schemas.openxmlformats.org/officeDocument/2006/relationships/settings" Target="settings.xml"/><Relationship Id="rId9" Type="http://schemas.openxmlformats.org/officeDocument/2006/relationships/hyperlink" Target="https://www.ibms.org/education/ibms-qualifications-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11C-EDD8-449C-8205-B1738AD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59</cp:revision>
  <cp:lastPrinted>2015-06-09T12:00:00Z</cp:lastPrinted>
  <dcterms:created xsi:type="dcterms:W3CDTF">2016-05-24T12:43:00Z</dcterms:created>
  <dcterms:modified xsi:type="dcterms:W3CDTF">2024-07-01T14:18:00Z</dcterms:modified>
</cp:coreProperties>
</file>