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7D8F" w14:textId="566685E1" w:rsidR="00716DE9" w:rsidRDefault="00ED7394" w:rsidP="006A0A39">
      <w:pPr>
        <w:spacing w:after="200" w:line="276" w:lineRule="auto"/>
        <w:jc w:val="center"/>
        <w:rPr>
          <w:color w:val="000000" w:themeColor="text1"/>
          <w:kern w:val="32"/>
          <w:sz w:val="32"/>
          <w:szCs w:val="32"/>
        </w:rPr>
      </w:pPr>
      <w:bookmarkStart w:id="0" w:name="_Toc93914695"/>
      <w:bookmarkStart w:id="1" w:name="_Toc214683449"/>
      <w:r>
        <w:rPr>
          <w:noProof/>
        </w:rPr>
        <w:drawing>
          <wp:inline distT="0" distB="0" distL="0" distR="0" wp14:anchorId="6DF8973A" wp14:editId="74CE84DA">
            <wp:extent cx="1851660" cy="1447800"/>
            <wp:effectExtent l="0" t="0" r="0" b="0"/>
            <wp:docPr id="14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C70B" w14:textId="51AB24A4" w:rsidR="00CC00E6" w:rsidRDefault="00CC00E6" w:rsidP="004E3385">
      <w:pPr>
        <w:rPr>
          <w:b/>
          <w:color w:val="000000" w:themeColor="text1"/>
          <w:kern w:val="32"/>
          <w:sz w:val="28"/>
          <w:szCs w:val="32"/>
        </w:rPr>
      </w:pPr>
      <w:r w:rsidRPr="00C734F4">
        <w:rPr>
          <w:b/>
          <w:color w:val="000000" w:themeColor="text1"/>
          <w:kern w:val="32"/>
          <w:sz w:val="28"/>
          <w:szCs w:val="32"/>
        </w:rPr>
        <w:t>MEDICAL MICROBIOLOGY</w:t>
      </w:r>
      <w:bookmarkEnd w:id="0"/>
      <w:bookmarkEnd w:id="1"/>
    </w:p>
    <w:p w14:paraId="561EDF24" w14:textId="59C63E65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79635300" w14:textId="77777777" w:rsidR="005F10FC" w:rsidRPr="005F10FC" w:rsidRDefault="005F10FC" w:rsidP="005F10FC"/>
    <w:p w14:paraId="2DA98863" w14:textId="6A30E8BE" w:rsidR="004E3385" w:rsidRPr="005F10FC" w:rsidRDefault="005F10FC" w:rsidP="004E3385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0F386167" w14:textId="77777777" w:rsidR="00D46A53" w:rsidRPr="004C1311" w:rsidRDefault="00D46A53" w:rsidP="00D46A53">
      <w:pPr>
        <w:rPr>
          <w:bCs/>
        </w:rPr>
      </w:pPr>
      <w:bookmarkStart w:id="2" w:name="_Hlk91512270"/>
      <w:bookmarkStart w:id="3" w:name="_Toc214683452"/>
      <w:r w:rsidRPr="004C1311">
        <w:t xml:space="preserve">Barer MR, Irving W, Swann A, Perera N. (eds.). </w:t>
      </w:r>
      <w:r w:rsidRPr="004C1311">
        <w:rPr>
          <w:i/>
        </w:rPr>
        <w:t>Medical Microbiology: A Guide to Microbial Infections: Pathogenesis, Immunity, Laboratory Infection and Control</w:t>
      </w:r>
      <w:r w:rsidRPr="004C1311">
        <w:t>. 19</w:t>
      </w:r>
      <w:r w:rsidRPr="004C1311">
        <w:rPr>
          <w:vertAlign w:val="superscript"/>
        </w:rPr>
        <w:t>th</w:t>
      </w:r>
      <w:r w:rsidRPr="004C1311">
        <w:t xml:space="preserve"> ed. Elsevier; 2018. </w:t>
      </w:r>
    </w:p>
    <w:p w14:paraId="00FD7028" w14:textId="77777777" w:rsidR="00D46A53" w:rsidRPr="004C1311" w:rsidRDefault="00D46A53" w:rsidP="00D46A53">
      <w:pPr>
        <w:rPr>
          <w:bCs/>
        </w:rPr>
      </w:pPr>
    </w:p>
    <w:p w14:paraId="15C469CD" w14:textId="19FED721" w:rsidR="00D46A53" w:rsidRPr="004C1311" w:rsidRDefault="00D46A53" w:rsidP="00D46A53">
      <w:pPr>
        <w:rPr>
          <w:bCs/>
        </w:rPr>
      </w:pPr>
      <w:bookmarkStart w:id="4" w:name="_Hlk217389754"/>
      <w:r w:rsidRPr="006F3F62">
        <w:rPr>
          <w:bCs/>
        </w:rPr>
        <w:t>Blaser M</w:t>
      </w:r>
      <w:r w:rsidR="0041074E" w:rsidRPr="006F3F62">
        <w:rPr>
          <w:bCs/>
        </w:rPr>
        <w:t>, Cohen J, Holland S</w:t>
      </w:r>
      <w:r w:rsidRPr="006F3F62">
        <w:rPr>
          <w:bCs/>
        </w:rPr>
        <w:t xml:space="preserve">. </w:t>
      </w:r>
      <w:r w:rsidRPr="006F3F62">
        <w:rPr>
          <w:bCs/>
          <w:i/>
        </w:rPr>
        <w:t xml:space="preserve">Mandell, Douglas and Bennett’s Principles and Practice of Infectious Diseases. </w:t>
      </w:r>
      <w:r w:rsidRPr="006F3F62">
        <w:rPr>
          <w:bCs/>
        </w:rPr>
        <w:t xml:space="preserve"> </w:t>
      </w:r>
      <w:r w:rsidR="0041074E" w:rsidRPr="006F3F62">
        <w:rPr>
          <w:bCs/>
        </w:rPr>
        <w:t>10</w:t>
      </w:r>
      <w:r w:rsidRPr="006F3F62">
        <w:rPr>
          <w:bCs/>
          <w:vertAlign w:val="superscript"/>
        </w:rPr>
        <w:t>th</w:t>
      </w:r>
      <w:r w:rsidRPr="006F3F62">
        <w:rPr>
          <w:bCs/>
        </w:rPr>
        <w:t xml:space="preserve"> ed. Elsevier; 20</w:t>
      </w:r>
      <w:r w:rsidR="0041074E" w:rsidRPr="006F3F62">
        <w:rPr>
          <w:bCs/>
        </w:rPr>
        <w:t>25</w:t>
      </w:r>
      <w:r w:rsidRPr="006F3F62">
        <w:rPr>
          <w:bCs/>
        </w:rPr>
        <w:t>.</w:t>
      </w:r>
      <w:r w:rsidRPr="004C1311">
        <w:rPr>
          <w:bCs/>
        </w:rPr>
        <w:t xml:space="preserve"> </w:t>
      </w:r>
    </w:p>
    <w:bookmarkEnd w:id="4"/>
    <w:p w14:paraId="2B1BAAF4" w14:textId="77777777" w:rsidR="00D46A53" w:rsidRPr="004C1311" w:rsidRDefault="00D46A53" w:rsidP="00D46A53">
      <w:pPr>
        <w:rPr>
          <w:bCs/>
        </w:rPr>
      </w:pPr>
    </w:p>
    <w:p w14:paraId="5F7A0A93" w14:textId="3D6E6798" w:rsidR="00D46A53" w:rsidRPr="004C1311" w:rsidRDefault="00D46A53" w:rsidP="00D46A53">
      <w:pPr>
        <w:rPr>
          <w:kern w:val="32"/>
        </w:rPr>
      </w:pPr>
      <w:r w:rsidRPr="001C5FCD">
        <w:rPr>
          <w:kern w:val="32"/>
        </w:rPr>
        <w:t>Carroll KC</w:t>
      </w:r>
      <w:r w:rsidR="00836DCD" w:rsidRPr="001C5FCD">
        <w:rPr>
          <w:kern w:val="32"/>
        </w:rPr>
        <w:t xml:space="preserve"> </w:t>
      </w:r>
      <w:r w:rsidR="00836DCD" w:rsidRPr="001C5FCD">
        <w:rPr>
          <w:b/>
          <w:bCs/>
          <w:kern w:val="32"/>
          <w:u w:val="single"/>
        </w:rPr>
        <w:t>et al.</w:t>
      </w:r>
      <w:r w:rsidR="00836DCD" w:rsidRPr="001C5FCD">
        <w:rPr>
          <w:kern w:val="32"/>
        </w:rPr>
        <w:t xml:space="preserve"> </w:t>
      </w:r>
      <w:r w:rsidRPr="001C5FCD">
        <w:rPr>
          <w:kern w:val="32"/>
        </w:rPr>
        <w:t xml:space="preserve">(eds.) </w:t>
      </w:r>
      <w:r w:rsidRPr="001C5FCD">
        <w:rPr>
          <w:i/>
          <w:kern w:val="32"/>
        </w:rPr>
        <w:t xml:space="preserve">Manual of Clinical Microbiology. </w:t>
      </w:r>
      <w:r w:rsidRPr="001C5FCD">
        <w:rPr>
          <w:kern w:val="32"/>
        </w:rPr>
        <w:t>1</w:t>
      </w:r>
      <w:r w:rsidR="00836DCD" w:rsidRPr="001C5FCD">
        <w:rPr>
          <w:kern w:val="32"/>
        </w:rPr>
        <w:t>3</w:t>
      </w:r>
      <w:r w:rsidRPr="001C5FCD">
        <w:rPr>
          <w:kern w:val="32"/>
          <w:vertAlign w:val="superscript"/>
        </w:rPr>
        <w:t>th</w:t>
      </w:r>
      <w:r w:rsidRPr="001C5FCD">
        <w:rPr>
          <w:kern w:val="32"/>
        </w:rPr>
        <w:t xml:space="preserve"> ed. ASM Press; 20</w:t>
      </w:r>
      <w:r w:rsidR="00836DCD" w:rsidRPr="001C5FCD">
        <w:rPr>
          <w:kern w:val="32"/>
        </w:rPr>
        <w:t>23</w:t>
      </w:r>
      <w:r w:rsidRPr="001C5FCD">
        <w:rPr>
          <w:kern w:val="32"/>
        </w:rPr>
        <w:t>.</w:t>
      </w:r>
      <w:r w:rsidRPr="004C1311">
        <w:rPr>
          <w:kern w:val="32"/>
        </w:rPr>
        <w:t xml:space="preserve"> </w:t>
      </w:r>
    </w:p>
    <w:p w14:paraId="67F486E0" w14:textId="77777777" w:rsidR="00D46A53" w:rsidRPr="004C1311" w:rsidRDefault="00D46A53" w:rsidP="00D46A53">
      <w:pPr>
        <w:rPr>
          <w:bCs/>
        </w:rPr>
      </w:pPr>
    </w:p>
    <w:p w14:paraId="3BCFFD0E" w14:textId="47572EB0" w:rsidR="005B3715" w:rsidRPr="00B67D4F" w:rsidRDefault="005B3715" w:rsidP="00D46A53">
      <w:r w:rsidRPr="00B67D4F">
        <w:t xml:space="preserve">Damani N. </w:t>
      </w:r>
      <w:r w:rsidRPr="00B67D4F">
        <w:rPr>
          <w:i/>
          <w:iCs/>
        </w:rPr>
        <w:t>Manual of Infection Prevention and Control</w:t>
      </w:r>
      <w:r w:rsidRPr="00B67D4F">
        <w:t>. 4</w:t>
      </w:r>
      <w:r w:rsidRPr="00B67D4F">
        <w:rPr>
          <w:vertAlign w:val="superscript"/>
        </w:rPr>
        <w:t>th</w:t>
      </w:r>
      <w:r w:rsidR="00B67D4F">
        <w:t xml:space="preserve"> ed. </w:t>
      </w:r>
      <w:r w:rsidRPr="00B67D4F">
        <w:t>Oxford University Press</w:t>
      </w:r>
      <w:r w:rsidRPr="00B67D4F">
        <w:rPr>
          <w:bCs/>
        </w:rPr>
        <w:t>;</w:t>
      </w:r>
      <w:r w:rsidRPr="00B67D4F">
        <w:rPr>
          <w:bCs/>
          <w:i/>
        </w:rPr>
        <w:t xml:space="preserve"> </w:t>
      </w:r>
      <w:r w:rsidRPr="00B67D4F">
        <w:rPr>
          <w:bCs/>
        </w:rPr>
        <w:t>2019.</w:t>
      </w:r>
    </w:p>
    <w:p w14:paraId="7F4BFE50" w14:textId="77777777" w:rsidR="00D46A53" w:rsidRPr="00B67D4F" w:rsidRDefault="00D46A53" w:rsidP="00D46A53"/>
    <w:p w14:paraId="216838B4" w14:textId="77777777" w:rsidR="00D46A53" w:rsidRPr="00B67D4F" w:rsidRDefault="00D46A53" w:rsidP="00D46A53">
      <w:pPr>
        <w:rPr>
          <w:bCs/>
        </w:rPr>
      </w:pPr>
      <w:r w:rsidRPr="00B67D4F">
        <w:rPr>
          <w:bCs/>
        </w:rPr>
        <w:t xml:space="preserve">Gillespie G, Bamford K. </w:t>
      </w:r>
      <w:r w:rsidRPr="00B67D4F">
        <w:rPr>
          <w:bCs/>
          <w:i/>
        </w:rPr>
        <w:t xml:space="preserve">Medical Microbiology and Infection at a Glance. </w:t>
      </w:r>
      <w:r w:rsidRPr="00B67D4F">
        <w:rPr>
          <w:bCs/>
        </w:rPr>
        <w:t>5</w:t>
      </w:r>
      <w:r w:rsidRPr="00B67D4F">
        <w:rPr>
          <w:bCs/>
          <w:vertAlign w:val="superscript"/>
        </w:rPr>
        <w:t>th</w:t>
      </w:r>
      <w:r w:rsidRPr="00B67D4F">
        <w:rPr>
          <w:bCs/>
        </w:rPr>
        <w:t xml:space="preserve"> ed. Wiley-Blackwell; 2021.</w:t>
      </w:r>
    </w:p>
    <w:p w14:paraId="36540BC3" w14:textId="77777777" w:rsidR="00D46A53" w:rsidRPr="00B67D4F" w:rsidRDefault="00D46A53" w:rsidP="00D46A53">
      <w:pPr>
        <w:rPr>
          <w:bCs/>
        </w:rPr>
      </w:pPr>
    </w:p>
    <w:p w14:paraId="5153FE6C" w14:textId="5059E873" w:rsidR="00D46A53" w:rsidRPr="00B67D4F" w:rsidRDefault="00D46A53" w:rsidP="00D46A53">
      <w:pPr>
        <w:rPr>
          <w:bCs/>
          <w:i/>
        </w:rPr>
      </w:pPr>
      <w:r w:rsidRPr="00B67D4F">
        <w:rPr>
          <w:bCs/>
        </w:rPr>
        <w:t>Ford M. (ed</w:t>
      </w:r>
      <w:r w:rsidR="005B3715" w:rsidRPr="00B67D4F">
        <w:rPr>
          <w:bCs/>
        </w:rPr>
        <w:t>.</w:t>
      </w:r>
      <w:r w:rsidRPr="00B67D4F">
        <w:rPr>
          <w:bCs/>
        </w:rPr>
        <w:t xml:space="preserve">) </w:t>
      </w:r>
      <w:r w:rsidRPr="00B67D4F">
        <w:rPr>
          <w:bCs/>
          <w:i/>
        </w:rPr>
        <w:t>Medical Microbiology</w:t>
      </w:r>
      <w:r w:rsidR="00393C3F" w:rsidRPr="00B67D4F">
        <w:rPr>
          <w:bCs/>
          <w:i/>
        </w:rPr>
        <w:t xml:space="preserve"> </w:t>
      </w:r>
      <w:r w:rsidR="00393C3F" w:rsidRPr="00B67D4F">
        <w:rPr>
          <w:i/>
        </w:rPr>
        <w:t xml:space="preserve">(Fundamentals of Biomedical Science). </w:t>
      </w:r>
      <w:r w:rsidRPr="00B67D4F">
        <w:rPr>
          <w:bCs/>
          <w:i/>
        </w:rPr>
        <w:t xml:space="preserve"> </w:t>
      </w:r>
      <w:r w:rsidRPr="00B67D4F">
        <w:rPr>
          <w:bCs/>
        </w:rPr>
        <w:t>3</w:t>
      </w:r>
      <w:r w:rsidRPr="00B67D4F">
        <w:rPr>
          <w:bCs/>
          <w:vertAlign w:val="superscript"/>
        </w:rPr>
        <w:t>rd</w:t>
      </w:r>
      <w:r w:rsidRPr="00B67D4F">
        <w:rPr>
          <w:bCs/>
        </w:rPr>
        <w:t xml:space="preserve"> ed.</w:t>
      </w:r>
      <w:r w:rsidRPr="00B67D4F">
        <w:t xml:space="preserve"> Oxford University Press</w:t>
      </w:r>
      <w:r w:rsidRPr="00B67D4F">
        <w:rPr>
          <w:bCs/>
        </w:rPr>
        <w:t>;</w:t>
      </w:r>
      <w:r w:rsidRPr="00B67D4F">
        <w:rPr>
          <w:bCs/>
          <w:i/>
        </w:rPr>
        <w:t xml:space="preserve"> </w:t>
      </w:r>
      <w:r w:rsidRPr="00B67D4F">
        <w:rPr>
          <w:bCs/>
        </w:rPr>
        <w:t xml:space="preserve">2019. </w:t>
      </w:r>
    </w:p>
    <w:p w14:paraId="1E54531F" w14:textId="77777777" w:rsidR="00D46A53" w:rsidRPr="00B67D4F" w:rsidRDefault="00D46A53" w:rsidP="00D46A53">
      <w:pPr>
        <w:rPr>
          <w:bCs/>
        </w:rPr>
      </w:pPr>
    </w:p>
    <w:p w14:paraId="24059698" w14:textId="5A938699" w:rsidR="00D46A53" w:rsidRPr="00505A8A" w:rsidRDefault="00D46A53" w:rsidP="00D46A53">
      <w:pPr>
        <w:rPr>
          <w:bCs/>
        </w:rPr>
      </w:pPr>
      <w:bookmarkStart w:id="5" w:name="_Hlk154136228"/>
      <w:r w:rsidRPr="00505A8A">
        <w:rPr>
          <w:bCs/>
        </w:rPr>
        <w:t xml:space="preserve">Goering RV, Dockrell HM, Zuckerman M, Chiodini PL. </w:t>
      </w:r>
      <w:r w:rsidRPr="00505A8A">
        <w:rPr>
          <w:bCs/>
          <w:i/>
        </w:rPr>
        <w:t>Mims’ Medical Microbiology and Immunology</w:t>
      </w:r>
      <w:r w:rsidRPr="00505A8A">
        <w:rPr>
          <w:bCs/>
        </w:rPr>
        <w:t xml:space="preserve">. </w:t>
      </w:r>
      <w:r w:rsidR="00643435" w:rsidRPr="00505A8A">
        <w:rPr>
          <w:bCs/>
        </w:rPr>
        <w:t>7</w:t>
      </w:r>
      <w:r w:rsidRPr="00505A8A">
        <w:rPr>
          <w:bCs/>
          <w:vertAlign w:val="superscript"/>
        </w:rPr>
        <w:t>th</w:t>
      </w:r>
      <w:r w:rsidRPr="00505A8A">
        <w:rPr>
          <w:bCs/>
        </w:rPr>
        <w:t xml:space="preserve"> ed. </w:t>
      </w:r>
      <w:r w:rsidR="00643435" w:rsidRPr="00505A8A">
        <w:rPr>
          <w:bCs/>
        </w:rPr>
        <w:t>Elsevier</w:t>
      </w:r>
      <w:r w:rsidRPr="00505A8A">
        <w:rPr>
          <w:bCs/>
        </w:rPr>
        <w:t>; 20</w:t>
      </w:r>
      <w:r w:rsidR="00643435" w:rsidRPr="00505A8A">
        <w:rPr>
          <w:bCs/>
        </w:rPr>
        <w:t>24.</w:t>
      </w:r>
    </w:p>
    <w:bookmarkEnd w:id="5"/>
    <w:p w14:paraId="056EFFE4" w14:textId="77777777" w:rsidR="00D46A53" w:rsidRPr="00505A8A" w:rsidRDefault="00D46A53" w:rsidP="00D46A53">
      <w:pPr>
        <w:rPr>
          <w:bCs/>
        </w:rPr>
      </w:pPr>
    </w:p>
    <w:p w14:paraId="59AC69C8" w14:textId="6CA3C0AC" w:rsidR="00034E91" w:rsidRPr="004C1311" w:rsidRDefault="00034E91" w:rsidP="00034E91">
      <w:r w:rsidRPr="00505A8A">
        <w:t xml:space="preserve">Levinson W, Ching-Hong P, Joyce EA, </w:t>
      </w:r>
      <w:r w:rsidR="00643435" w:rsidRPr="00505A8A">
        <w:t>Karandikar M</w:t>
      </w:r>
      <w:r w:rsidRPr="00505A8A">
        <w:t xml:space="preserve">, </w:t>
      </w:r>
      <w:r w:rsidR="00643435" w:rsidRPr="00505A8A">
        <w:t xml:space="preserve">Matloubian M, Rubio LA, </w:t>
      </w:r>
      <w:r w:rsidRPr="00505A8A">
        <w:t xml:space="preserve">Schwartz B. </w:t>
      </w:r>
      <w:r w:rsidR="00643435" w:rsidRPr="00505A8A">
        <w:rPr>
          <w:i/>
          <w:iCs/>
        </w:rPr>
        <w:t>Levinson’s</w:t>
      </w:r>
      <w:r w:rsidR="00643435" w:rsidRPr="00505A8A">
        <w:t xml:space="preserve"> </w:t>
      </w:r>
      <w:r w:rsidRPr="00505A8A">
        <w:rPr>
          <w:i/>
        </w:rPr>
        <w:t>Review of Medical Microbiology and Immunology: A Guide to Clinical Infectious Diseases</w:t>
      </w:r>
      <w:r w:rsidRPr="00505A8A">
        <w:t>. 1</w:t>
      </w:r>
      <w:r w:rsidR="00643435" w:rsidRPr="00505A8A">
        <w:t>8</w:t>
      </w:r>
      <w:r w:rsidRPr="00505A8A">
        <w:rPr>
          <w:vertAlign w:val="superscript"/>
        </w:rPr>
        <w:t>th</w:t>
      </w:r>
      <w:r w:rsidRPr="00505A8A">
        <w:t xml:space="preserve"> ed. McGraw-Hill/Medical; 202</w:t>
      </w:r>
      <w:r w:rsidR="00643435" w:rsidRPr="00505A8A">
        <w:t>4</w:t>
      </w:r>
      <w:r w:rsidRPr="00505A8A">
        <w:t>.</w:t>
      </w:r>
      <w:r w:rsidRPr="004C1311">
        <w:t xml:space="preserve">  </w:t>
      </w:r>
      <w:r w:rsidRPr="004C1311">
        <w:rPr>
          <w:b/>
          <w:bCs/>
          <w:color w:val="000000"/>
          <w:lang w:eastAsia="en-GB"/>
        </w:rPr>
        <w:t xml:space="preserve"> </w:t>
      </w:r>
    </w:p>
    <w:p w14:paraId="68C6F022" w14:textId="77777777" w:rsidR="00D46A53" w:rsidRPr="004C1311" w:rsidRDefault="00D46A53" w:rsidP="00D46A53">
      <w:pPr>
        <w:rPr>
          <w:bCs/>
        </w:rPr>
      </w:pPr>
    </w:p>
    <w:p w14:paraId="32F73A8B" w14:textId="77777777" w:rsidR="00D46A53" w:rsidRPr="004C1311" w:rsidRDefault="00D46A53" w:rsidP="00D46A53">
      <w:pPr>
        <w:rPr>
          <w:bCs/>
        </w:rPr>
      </w:pPr>
      <w:r w:rsidRPr="004C1311">
        <w:rPr>
          <w:bCs/>
        </w:rPr>
        <w:t xml:space="preserve">Madigan M, Bender K, Buckley D, Sattley M, Stahl D. </w:t>
      </w:r>
      <w:r w:rsidRPr="004C1311">
        <w:rPr>
          <w:bCs/>
          <w:i/>
        </w:rPr>
        <w:t>Brock Biology of Microorganisms.</w:t>
      </w:r>
      <w:r w:rsidRPr="004C1311">
        <w:rPr>
          <w:bCs/>
        </w:rPr>
        <w:t xml:space="preserve"> 1</w:t>
      </w:r>
      <w:r>
        <w:rPr>
          <w:bCs/>
        </w:rPr>
        <w:t>6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Pearson Education; 20</w:t>
      </w:r>
      <w:r>
        <w:rPr>
          <w:bCs/>
        </w:rPr>
        <w:t>21</w:t>
      </w:r>
      <w:r w:rsidRPr="004C1311">
        <w:rPr>
          <w:bCs/>
        </w:rPr>
        <w:t xml:space="preserve">. </w:t>
      </w:r>
    </w:p>
    <w:p w14:paraId="518DB971" w14:textId="77777777" w:rsidR="00D46A53" w:rsidRPr="004C1311" w:rsidRDefault="00D46A53" w:rsidP="00D46A53">
      <w:pPr>
        <w:rPr>
          <w:bCs/>
        </w:rPr>
      </w:pPr>
    </w:p>
    <w:p w14:paraId="451000D0" w14:textId="20787B51" w:rsidR="00D46A53" w:rsidRDefault="00D46A53" w:rsidP="00D46A53">
      <w:pPr>
        <w:rPr>
          <w:bCs/>
        </w:rPr>
      </w:pPr>
      <w:bookmarkStart w:id="6" w:name="_Hlk217389781"/>
      <w:r w:rsidRPr="006F3F62">
        <w:rPr>
          <w:bCs/>
        </w:rPr>
        <w:t xml:space="preserve">Murray PR, Rosenthal KS, Pfaller MA. </w:t>
      </w:r>
      <w:r w:rsidRPr="006F3F62">
        <w:rPr>
          <w:bCs/>
          <w:i/>
        </w:rPr>
        <w:t>Medical Microbiology</w:t>
      </w:r>
      <w:r w:rsidRPr="006F3F62">
        <w:rPr>
          <w:bCs/>
        </w:rPr>
        <w:t xml:space="preserve">. </w:t>
      </w:r>
      <w:r w:rsidR="0041074E" w:rsidRPr="006F3F62">
        <w:rPr>
          <w:bCs/>
        </w:rPr>
        <w:t>10</w:t>
      </w:r>
      <w:r w:rsidRPr="006F3F62">
        <w:rPr>
          <w:bCs/>
          <w:vertAlign w:val="superscript"/>
        </w:rPr>
        <w:t>th</w:t>
      </w:r>
      <w:r w:rsidRPr="006F3F62">
        <w:rPr>
          <w:bCs/>
        </w:rPr>
        <w:t xml:space="preserve"> ed. Elsevier; 202</w:t>
      </w:r>
      <w:r w:rsidR="0041074E" w:rsidRPr="006F3F62">
        <w:rPr>
          <w:bCs/>
        </w:rPr>
        <w:t>5</w:t>
      </w:r>
      <w:r w:rsidRPr="006F3F62">
        <w:rPr>
          <w:bCs/>
        </w:rPr>
        <w:t>.</w:t>
      </w:r>
      <w:r w:rsidRPr="004C1311">
        <w:rPr>
          <w:bCs/>
        </w:rPr>
        <w:t xml:space="preserve"> </w:t>
      </w:r>
    </w:p>
    <w:bookmarkEnd w:id="6"/>
    <w:p w14:paraId="717E506D" w14:textId="77777777" w:rsidR="00836DCD" w:rsidRDefault="00836DCD" w:rsidP="00D46A53">
      <w:pPr>
        <w:rPr>
          <w:bCs/>
        </w:rPr>
      </w:pPr>
    </w:p>
    <w:p w14:paraId="5B160D95" w14:textId="36A8C0EB" w:rsidR="00836DCD" w:rsidRPr="004C1311" w:rsidRDefault="00836DCD" w:rsidP="00D46A53">
      <w:pPr>
        <w:rPr>
          <w:bCs/>
        </w:rPr>
      </w:pPr>
      <w:bookmarkStart w:id="7" w:name="_Hlk154136339"/>
      <w:r w:rsidRPr="001C5FCD">
        <w:rPr>
          <w:bCs/>
        </w:rPr>
        <w:t xml:space="preserve">Murray PR. </w:t>
      </w:r>
      <w:r w:rsidRPr="001C5FCD">
        <w:rPr>
          <w:bCs/>
          <w:i/>
          <w:iCs/>
        </w:rPr>
        <w:t>Murray’s Basic Medical Microbiology: Foundations and Clinical Cases</w:t>
      </w:r>
      <w:r w:rsidRPr="001C5FCD">
        <w:rPr>
          <w:bCs/>
        </w:rPr>
        <w:t>. 2</w:t>
      </w:r>
      <w:r w:rsidRPr="001C5FCD">
        <w:rPr>
          <w:bCs/>
          <w:vertAlign w:val="superscript"/>
        </w:rPr>
        <w:t>nd</w:t>
      </w:r>
      <w:r w:rsidRPr="001C5FCD">
        <w:rPr>
          <w:bCs/>
        </w:rPr>
        <w:t xml:space="preserve"> ed. Elsevier; 2023.</w:t>
      </w:r>
    </w:p>
    <w:bookmarkEnd w:id="7"/>
    <w:p w14:paraId="11FC0076" w14:textId="77777777" w:rsidR="00D46A53" w:rsidRPr="004C1311" w:rsidRDefault="00D46A53" w:rsidP="00D46A53">
      <w:pPr>
        <w:rPr>
          <w:bCs/>
        </w:rPr>
      </w:pPr>
    </w:p>
    <w:p w14:paraId="0BAA5AA1" w14:textId="77777777" w:rsidR="00D46A53" w:rsidRPr="004C1311" w:rsidRDefault="00D46A53" w:rsidP="00D46A53">
      <w:pPr>
        <w:rPr>
          <w:kern w:val="32"/>
        </w:rPr>
      </w:pPr>
      <w:r w:rsidRPr="004C1311">
        <w:rPr>
          <w:bCs/>
        </w:rPr>
        <w:t xml:space="preserve">Nash A, Daliziel R, Stephen J. </w:t>
      </w:r>
      <w:r w:rsidRPr="004C1311">
        <w:rPr>
          <w:bCs/>
          <w:i/>
        </w:rPr>
        <w:t xml:space="preserve">Mims’ Pathogenesis of Infectious Disease. </w:t>
      </w:r>
      <w:r w:rsidRPr="004C1311">
        <w:rPr>
          <w:bCs/>
        </w:rPr>
        <w:t>6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Academic Press; 2015.</w:t>
      </w:r>
      <w:r w:rsidRPr="004C1311">
        <w:rPr>
          <w:b/>
          <w:bCs/>
        </w:rPr>
        <w:t xml:space="preserve"> </w:t>
      </w:r>
    </w:p>
    <w:p w14:paraId="216388F7" w14:textId="77777777" w:rsidR="00D46A53" w:rsidRPr="004C1311" w:rsidRDefault="00D46A53" w:rsidP="00D46A53">
      <w:pPr>
        <w:rPr>
          <w:kern w:val="32"/>
        </w:rPr>
      </w:pPr>
    </w:p>
    <w:p w14:paraId="028A213C" w14:textId="72B67A8C" w:rsidR="00D46A53" w:rsidRDefault="00D46A53" w:rsidP="00D46A53">
      <w:pPr>
        <w:rPr>
          <w:bCs/>
        </w:rPr>
      </w:pPr>
      <w:r w:rsidRPr="004C1311">
        <w:rPr>
          <w:bCs/>
        </w:rPr>
        <w:t xml:space="preserve">Riedel S, Miller S, Morse SA, Mietzner T. </w:t>
      </w:r>
      <w:r w:rsidRPr="004C1311">
        <w:rPr>
          <w:bCs/>
          <w:i/>
        </w:rPr>
        <w:t xml:space="preserve">Jawetz, Melnick and Adelberg’s Medical Microbiology. </w:t>
      </w:r>
      <w:r w:rsidRPr="004C1311">
        <w:rPr>
          <w:bCs/>
        </w:rPr>
        <w:t>28</w:t>
      </w:r>
      <w:r w:rsidRPr="004C1311">
        <w:rPr>
          <w:bCs/>
          <w:vertAlign w:val="superscript"/>
        </w:rPr>
        <w:t>th</w:t>
      </w:r>
      <w:r w:rsidRPr="004C1311">
        <w:rPr>
          <w:bCs/>
        </w:rPr>
        <w:t xml:space="preserve"> ed. McGraw-Hill Medical; 2019. </w:t>
      </w:r>
    </w:p>
    <w:p w14:paraId="5D88517B" w14:textId="51AAC901" w:rsidR="00034E91" w:rsidRDefault="00034E91" w:rsidP="00D46A53">
      <w:pPr>
        <w:rPr>
          <w:bCs/>
        </w:rPr>
      </w:pPr>
    </w:p>
    <w:p w14:paraId="1FEE05BB" w14:textId="6C6A9819" w:rsidR="00034E91" w:rsidRPr="00B67D4F" w:rsidRDefault="00034E91" w:rsidP="00D46A53">
      <w:pPr>
        <w:rPr>
          <w:bCs/>
        </w:rPr>
      </w:pPr>
      <w:r w:rsidRPr="00B67D4F">
        <w:rPr>
          <w:bCs/>
        </w:rPr>
        <w:t>Ryan KJ</w:t>
      </w:r>
      <w:r w:rsidR="005B3715" w:rsidRPr="00B67D4F">
        <w:rPr>
          <w:bCs/>
        </w:rPr>
        <w:t xml:space="preserve">. (ed.) </w:t>
      </w:r>
      <w:r w:rsidRPr="00B67D4F">
        <w:rPr>
          <w:bCs/>
          <w:i/>
          <w:iCs/>
        </w:rPr>
        <w:t xml:space="preserve">Sherris and Ryan’s Medical Microbiology. </w:t>
      </w:r>
      <w:r w:rsidRPr="00B67D4F">
        <w:rPr>
          <w:bCs/>
        </w:rPr>
        <w:t>8</w:t>
      </w:r>
      <w:r w:rsidRPr="00B67D4F">
        <w:rPr>
          <w:bCs/>
          <w:vertAlign w:val="superscript"/>
        </w:rPr>
        <w:t>th</w:t>
      </w:r>
      <w:r w:rsidRPr="00B67D4F">
        <w:rPr>
          <w:bCs/>
        </w:rPr>
        <w:t xml:space="preserve"> ed. McGraw Hill/Medical; 2022.</w:t>
      </w:r>
    </w:p>
    <w:p w14:paraId="0829A270" w14:textId="77777777" w:rsidR="00D46A53" w:rsidRPr="00B67D4F" w:rsidRDefault="00D46A53" w:rsidP="00D46A53">
      <w:pPr>
        <w:rPr>
          <w:kern w:val="32"/>
        </w:rPr>
      </w:pPr>
    </w:p>
    <w:p w14:paraId="4049598A" w14:textId="34CB4D83" w:rsidR="00D46A53" w:rsidRPr="00B67D4F" w:rsidRDefault="00D46A53" w:rsidP="00D46A53">
      <w:r w:rsidRPr="00B67D4F">
        <w:t xml:space="preserve">Shors T. </w:t>
      </w:r>
      <w:r w:rsidRPr="00B67D4F">
        <w:rPr>
          <w:i/>
          <w:iCs/>
        </w:rPr>
        <w:t xml:space="preserve">Krasner’s </w:t>
      </w:r>
      <w:r w:rsidRPr="00B67D4F">
        <w:rPr>
          <w:i/>
        </w:rPr>
        <w:t>Microbial Challenge: A Public Health Perspective</w:t>
      </w:r>
      <w:r w:rsidRPr="00B67D4F">
        <w:t>.  4</w:t>
      </w:r>
      <w:r w:rsidR="005B3715" w:rsidRPr="00B67D4F">
        <w:rPr>
          <w:vertAlign w:val="superscript"/>
        </w:rPr>
        <w:t>th</w:t>
      </w:r>
      <w:r w:rsidRPr="00B67D4F">
        <w:t xml:space="preserve"> ed. Jones and Bartlett Learning; 2018. </w:t>
      </w:r>
    </w:p>
    <w:p w14:paraId="58FCCC1A" w14:textId="47148C97" w:rsidR="00D46A53" w:rsidRPr="00B67D4F" w:rsidRDefault="00D46A53" w:rsidP="00D46A53">
      <w:pPr>
        <w:rPr>
          <w:kern w:val="32"/>
        </w:rPr>
      </w:pPr>
    </w:p>
    <w:p w14:paraId="752EEF36" w14:textId="2846C064" w:rsidR="00D46A53" w:rsidRPr="00B67D4F" w:rsidRDefault="00D46A53" w:rsidP="00D46A53">
      <w:pPr>
        <w:pStyle w:val="BodyText"/>
        <w:spacing w:after="0"/>
        <w:jc w:val="left"/>
        <w:rPr>
          <w:rFonts w:ascii="Calibri" w:hAnsi="Calibri" w:cs="Calibri"/>
          <w:szCs w:val="24"/>
        </w:rPr>
      </w:pPr>
      <w:bookmarkStart w:id="8" w:name="_Hlk217388882"/>
      <w:r w:rsidRPr="006F3F62">
        <w:rPr>
          <w:rFonts w:ascii="Calibri" w:hAnsi="Calibri" w:cs="Calibri"/>
          <w:szCs w:val="24"/>
        </w:rPr>
        <w:t xml:space="preserve">Tille PM. </w:t>
      </w:r>
      <w:r w:rsidRPr="006F3F62">
        <w:rPr>
          <w:rFonts w:ascii="Calibri" w:hAnsi="Calibri" w:cs="Calibri"/>
          <w:i/>
          <w:szCs w:val="24"/>
        </w:rPr>
        <w:t>Bailey &amp; Scott’s</w:t>
      </w:r>
      <w:r w:rsidRPr="006F3F62">
        <w:rPr>
          <w:rFonts w:ascii="Calibri" w:hAnsi="Calibri" w:cs="Calibri"/>
          <w:szCs w:val="24"/>
        </w:rPr>
        <w:t xml:space="preserve"> </w:t>
      </w:r>
      <w:r w:rsidRPr="006F3F62">
        <w:rPr>
          <w:rFonts w:ascii="Calibri" w:hAnsi="Calibri" w:cs="Calibri"/>
          <w:i/>
          <w:iCs/>
          <w:szCs w:val="24"/>
        </w:rPr>
        <w:t>Diagnostic Microbiology.</w:t>
      </w:r>
      <w:r w:rsidRPr="006F3F62">
        <w:rPr>
          <w:rFonts w:ascii="Calibri" w:hAnsi="Calibri" w:cs="Calibri"/>
          <w:szCs w:val="24"/>
        </w:rPr>
        <w:t xml:space="preserve"> 1</w:t>
      </w:r>
      <w:r w:rsidR="0041074E" w:rsidRPr="006F3F62">
        <w:rPr>
          <w:rFonts w:ascii="Calibri" w:hAnsi="Calibri" w:cs="Calibri"/>
          <w:szCs w:val="24"/>
        </w:rPr>
        <w:t>6</w:t>
      </w:r>
      <w:r w:rsidRPr="006F3F62">
        <w:rPr>
          <w:rFonts w:ascii="Calibri" w:hAnsi="Calibri" w:cs="Calibri"/>
          <w:szCs w:val="24"/>
          <w:vertAlign w:val="superscript"/>
        </w:rPr>
        <w:t xml:space="preserve">th </w:t>
      </w:r>
      <w:r w:rsidRPr="006F3F62">
        <w:rPr>
          <w:rFonts w:ascii="Calibri" w:hAnsi="Calibri" w:cs="Calibri"/>
          <w:szCs w:val="24"/>
        </w:rPr>
        <w:t>ed. Elsevier; 202</w:t>
      </w:r>
      <w:r w:rsidR="0041074E" w:rsidRPr="006F3F62">
        <w:rPr>
          <w:rFonts w:ascii="Calibri" w:hAnsi="Calibri" w:cs="Calibri"/>
          <w:szCs w:val="24"/>
        </w:rPr>
        <w:t>5</w:t>
      </w:r>
      <w:r w:rsidRPr="006F3F62">
        <w:rPr>
          <w:rFonts w:ascii="Calibri" w:hAnsi="Calibri" w:cs="Calibri"/>
          <w:szCs w:val="24"/>
        </w:rPr>
        <w:t>.</w:t>
      </w:r>
      <w:r w:rsidRPr="00B67D4F">
        <w:rPr>
          <w:rFonts w:ascii="Calibri" w:hAnsi="Calibri" w:cs="Calibri"/>
          <w:szCs w:val="24"/>
        </w:rPr>
        <w:t xml:space="preserve"> </w:t>
      </w:r>
    </w:p>
    <w:bookmarkEnd w:id="8"/>
    <w:p w14:paraId="249BEECB" w14:textId="77777777" w:rsidR="00D46A53" w:rsidRPr="00B67D4F" w:rsidRDefault="00D46A53" w:rsidP="00D46A53"/>
    <w:p w14:paraId="0D24A51C" w14:textId="77777777" w:rsidR="00D46A53" w:rsidRPr="00B67D4F" w:rsidRDefault="00D46A53" w:rsidP="00D46A53">
      <w:r w:rsidRPr="00B67D4F">
        <w:t xml:space="preserve">Torok E, Moran E, Cooke F. </w:t>
      </w:r>
      <w:r w:rsidRPr="00B67D4F">
        <w:rPr>
          <w:i/>
        </w:rPr>
        <w:t xml:space="preserve">Oxford Handbook of Infectious Diseases and Microbiology. </w:t>
      </w:r>
      <w:r w:rsidRPr="00B67D4F">
        <w:t>2</w:t>
      </w:r>
      <w:r w:rsidRPr="00B67D4F">
        <w:rPr>
          <w:vertAlign w:val="superscript"/>
        </w:rPr>
        <w:t>nd</w:t>
      </w:r>
      <w:r w:rsidRPr="00B67D4F">
        <w:t xml:space="preserve"> ed</w:t>
      </w:r>
      <w:r w:rsidRPr="00B67D4F">
        <w:rPr>
          <w:i/>
        </w:rPr>
        <w:t xml:space="preserve">. </w:t>
      </w:r>
      <w:r w:rsidRPr="00B67D4F">
        <w:t xml:space="preserve">Oxford University Press; 2016. </w:t>
      </w:r>
    </w:p>
    <w:p w14:paraId="51DEE1F6" w14:textId="77777777" w:rsidR="00D46A53" w:rsidRPr="00B67D4F" w:rsidRDefault="00D46A53" w:rsidP="00D46A53">
      <w:pPr>
        <w:rPr>
          <w:kern w:val="32"/>
        </w:rPr>
      </w:pPr>
    </w:p>
    <w:p w14:paraId="6E8F7C72" w14:textId="29A6523C" w:rsidR="00D46A53" w:rsidRPr="004C1311" w:rsidRDefault="00D46A53" w:rsidP="00D46A53">
      <w:r w:rsidRPr="00B67D4F">
        <w:t xml:space="preserve">Willey J, Sandman K, Wood D. </w:t>
      </w:r>
      <w:r w:rsidRPr="00B67D4F">
        <w:rPr>
          <w:i/>
          <w:iCs/>
        </w:rPr>
        <w:t>Prescott's Microbiology</w:t>
      </w:r>
      <w:r w:rsidRPr="00B67D4F">
        <w:t>. 1</w:t>
      </w:r>
      <w:r w:rsidR="005B3715" w:rsidRPr="00B67D4F">
        <w:t>2</w:t>
      </w:r>
      <w:r w:rsidRPr="00B67D4F">
        <w:rPr>
          <w:vertAlign w:val="superscript"/>
        </w:rPr>
        <w:t>th</w:t>
      </w:r>
      <w:r w:rsidRPr="00B67D4F">
        <w:t xml:space="preserve"> ed. McGraw-Hill; 2</w:t>
      </w:r>
      <w:r w:rsidR="005B3715" w:rsidRPr="00B67D4F">
        <w:t>022.</w:t>
      </w:r>
    </w:p>
    <w:p w14:paraId="11A618B4" w14:textId="77777777" w:rsidR="00D46A53" w:rsidRPr="004C1311" w:rsidRDefault="00D46A53" w:rsidP="00D46A53">
      <w:pPr>
        <w:rPr>
          <w:kern w:val="32"/>
        </w:rPr>
      </w:pPr>
    </w:p>
    <w:bookmarkEnd w:id="2"/>
    <w:p w14:paraId="58D813DA" w14:textId="77777777" w:rsidR="006A0A39" w:rsidRPr="00F758E4" w:rsidRDefault="006A0A39" w:rsidP="00F758E4">
      <w:pPr>
        <w:spacing w:line="276" w:lineRule="auto"/>
        <w:rPr>
          <w:b/>
          <w:color w:val="000000" w:themeColor="text1"/>
          <w:kern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27450" w:rsidRPr="00C734F4" w14:paraId="4A3068AE" w14:textId="77777777" w:rsidTr="004B5292">
        <w:tc>
          <w:tcPr>
            <w:tcW w:w="9606" w:type="dxa"/>
            <w:gridSpan w:val="2"/>
          </w:tcPr>
          <w:p w14:paraId="5DDB8955" w14:textId="2E1A5A6B" w:rsidR="00A27450" w:rsidRPr="00C734F4" w:rsidRDefault="00A27450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4410DD">
              <w:rPr>
                <w:b/>
                <w:color w:val="000000" w:themeColor="text1"/>
              </w:rPr>
              <w:t xml:space="preserve"> AND WESBITES</w:t>
            </w:r>
          </w:p>
        </w:tc>
      </w:tr>
      <w:tr w:rsidR="00A27450" w:rsidRPr="00C734F4" w14:paraId="28AF57F0" w14:textId="77777777" w:rsidTr="004B5292">
        <w:tc>
          <w:tcPr>
            <w:tcW w:w="4928" w:type="dxa"/>
          </w:tcPr>
          <w:p w14:paraId="3467C2C1" w14:textId="77777777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British Journal of Biomedical Science</w:t>
            </w:r>
          </w:p>
        </w:tc>
        <w:tc>
          <w:tcPr>
            <w:tcW w:w="4678" w:type="dxa"/>
          </w:tcPr>
          <w:p w14:paraId="0BA7352B" w14:textId="77777777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  <w:color w:val="000000" w:themeColor="text1"/>
              </w:rPr>
              <w:t>British Medical Journal</w:t>
            </w:r>
          </w:p>
        </w:tc>
      </w:tr>
      <w:tr w:rsidR="00A27450" w:rsidRPr="00C734F4" w14:paraId="78FF4B27" w14:textId="77777777" w:rsidTr="004B5292">
        <w:tc>
          <w:tcPr>
            <w:tcW w:w="4928" w:type="dxa"/>
          </w:tcPr>
          <w:p w14:paraId="69FCA818" w14:textId="7DEDD6D6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Clinical Microbiology and Infection</w:t>
            </w:r>
          </w:p>
        </w:tc>
        <w:tc>
          <w:tcPr>
            <w:tcW w:w="4678" w:type="dxa"/>
          </w:tcPr>
          <w:p w14:paraId="1CC97E4F" w14:textId="52CD8299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Clinical Microbiology Reviews</w:t>
            </w:r>
          </w:p>
        </w:tc>
      </w:tr>
      <w:tr w:rsidR="00A27450" w:rsidRPr="00C734F4" w14:paraId="0CA18BC5" w14:textId="77777777" w:rsidTr="004B5292">
        <w:tc>
          <w:tcPr>
            <w:tcW w:w="4928" w:type="dxa"/>
          </w:tcPr>
          <w:p w14:paraId="69CD5732" w14:textId="77777777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</w:tcPr>
          <w:p w14:paraId="0596FE2C" w14:textId="6ACBEDF4" w:rsidR="00A27450" w:rsidRPr="00782ED8" w:rsidRDefault="00A27450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International Journal of Medical Microbiology</w:t>
            </w:r>
          </w:p>
        </w:tc>
      </w:tr>
      <w:tr w:rsidR="004410DD" w:rsidRPr="00C734F4" w14:paraId="3F4A85B0" w14:textId="77777777" w:rsidTr="004B5292">
        <w:tc>
          <w:tcPr>
            <w:tcW w:w="4928" w:type="dxa"/>
          </w:tcPr>
          <w:p w14:paraId="4EFA3480" w14:textId="6B0ADD9F" w:rsidR="004410DD" w:rsidRPr="00782ED8" w:rsidRDefault="004410DD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</w:rPr>
              <w:t>Institute of Biomedical Science</w:t>
            </w:r>
          </w:p>
        </w:tc>
        <w:tc>
          <w:tcPr>
            <w:tcW w:w="4678" w:type="dxa"/>
          </w:tcPr>
          <w:p w14:paraId="6FBCF687" w14:textId="1022E507" w:rsidR="004410DD" w:rsidRPr="00782ED8" w:rsidRDefault="00D65511" w:rsidP="00AD4D09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Applied Microbiology</w:t>
            </w:r>
          </w:p>
        </w:tc>
      </w:tr>
      <w:tr w:rsidR="00A27450" w:rsidRPr="00C734F4" w14:paraId="4093737F" w14:textId="77777777" w:rsidTr="004B5292">
        <w:tc>
          <w:tcPr>
            <w:tcW w:w="4928" w:type="dxa"/>
          </w:tcPr>
          <w:p w14:paraId="2C7BB75F" w14:textId="5BCA22B8" w:rsidR="00A27450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Bacteriology</w:t>
            </w:r>
          </w:p>
        </w:tc>
        <w:tc>
          <w:tcPr>
            <w:tcW w:w="4678" w:type="dxa"/>
          </w:tcPr>
          <w:p w14:paraId="213670D6" w14:textId="3C450C8C" w:rsidR="00A27450" w:rsidRPr="00782ED8" w:rsidRDefault="00D65511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Clinical Microbiology</w:t>
            </w:r>
          </w:p>
        </w:tc>
      </w:tr>
      <w:tr w:rsidR="00A27450" w:rsidRPr="00C734F4" w14:paraId="3DEF112E" w14:textId="77777777" w:rsidTr="004B5292">
        <w:tc>
          <w:tcPr>
            <w:tcW w:w="4928" w:type="dxa"/>
          </w:tcPr>
          <w:p w14:paraId="73C299FD" w14:textId="442C8E50" w:rsidR="00A27450" w:rsidRPr="00782ED8" w:rsidRDefault="00A27450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Hospital Infection</w:t>
            </w:r>
          </w:p>
        </w:tc>
        <w:tc>
          <w:tcPr>
            <w:tcW w:w="4678" w:type="dxa"/>
          </w:tcPr>
          <w:p w14:paraId="0B9A6A5C" w14:textId="7C5C6E2C" w:rsidR="00A27450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</w:rPr>
              <w:t>Journal of Infection</w:t>
            </w:r>
            <w:r w:rsidR="00A27450" w:rsidRPr="00782ED8">
              <w:rPr>
                <w:rFonts w:asciiTheme="majorHAnsi" w:hAnsiTheme="majorHAnsi" w:cstheme="majorHAnsi"/>
                <w:iCs/>
                <w:color w:val="000000" w:themeColor="text1"/>
              </w:rPr>
              <w:t xml:space="preserve"> </w:t>
            </w:r>
          </w:p>
        </w:tc>
      </w:tr>
      <w:tr w:rsidR="00FA1013" w:rsidRPr="00C734F4" w14:paraId="38DA9CF0" w14:textId="77777777" w:rsidTr="004B5292">
        <w:tc>
          <w:tcPr>
            <w:tcW w:w="4928" w:type="dxa"/>
          </w:tcPr>
          <w:p w14:paraId="7777D2C5" w14:textId="7F047CAC" w:rsidR="00FA1013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Medical Microbiology</w:t>
            </w:r>
          </w:p>
        </w:tc>
        <w:tc>
          <w:tcPr>
            <w:tcW w:w="4678" w:type="dxa"/>
          </w:tcPr>
          <w:p w14:paraId="4ADDC4FB" w14:textId="4F888254" w:rsidR="00FA1013" w:rsidRPr="00782ED8" w:rsidRDefault="00FA1013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782ED8">
              <w:rPr>
                <w:rFonts w:asciiTheme="majorHAnsi" w:hAnsiTheme="majorHAnsi" w:cstheme="majorHAnsi"/>
                <w:iCs/>
              </w:rPr>
              <w:t xml:space="preserve">Journal of </w:t>
            </w:r>
            <w:r w:rsidR="00D65511">
              <w:rPr>
                <w:rFonts w:asciiTheme="majorHAnsi" w:hAnsiTheme="majorHAnsi" w:cstheme="majorHAnsi"/>
                <w:iCs/>
              </w:rPr>
              <w:t>Parasitology</w:t>
            </w:r>
          </w:p>
        </w:tc>
      </w:tr>
      <w:tr w:rsidR="00FA1013" w:rsidRPr="00C734F4" w14:paraId="0827D21D" w14:textId="77777777" w:rsidTr="004B5292">
        <w:tc>
          <w:tcPr>
            <w:tcW w:w="4928" w:type="dxa"/>
          </w:tcPr>
          <w:p w14:paraId="23B7C1C8" w14:textId="590D0911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Lancet</w:t>
            </w:r>
          </w:p>
        </w:tc>
        <w:tc>
          <w:tcPr>
            <w:tcW w:w="4678" w:type="dxa"/>
          </w:tcPr>
          <w:p w14:paraId="5B91EC6C" w14:textId="17211045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iCs/>
              </w:rPr>
              <w:t>Molecular Microbiology</w:t>
            </w:r>
          </w:p>
        </w:tc>
      </w:tr>
      <w:tr w:rsidR="00FA1013" w:rsidRPr="00C734F4" w14:paraId="5F174E01" w14:textId="77777777" w:rsidTr="004B5292">
        <w:tc>
          <w:tcPr>
            <w:tcW w:w="4928" w:type="dxa"/>
          </w:tcPr>
          <w:p w14:paraId="6D7F53E4" w14:textId="1AB23840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Mycoses</w:t>
            </w:r>
          </w:p>
        </w:tc>
        <w:tc>
          <w:tcPr>
            <w:tcW w:w="4678" w:type="dxa"/>
          </w:tcPr>
          <w:p w14:paraId="48C23FD3" w14:textId="34A93044" w:rsidR="00FA1013" w:rsidRPr="00782ED8" w:rsidRDefault="00D65511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Royal College of Pathologists</w:t>
            </w:r>
          </w:p>
        </w:tc>
      </w:tr>
      <w:tr w:rsidR="004410DD" w:rsidRPr="00C734F4" w14:paraId="5E9A9D1B" w14:textId="77777777" w:rsidTr="004B5292">
        <w:tc>
          <w:tcPr>
            <w:tcW w:w="4928" w:type="dxa"/>
          </w:tcPr>
          <w:p w14:paraId="474A5791" w14:textId="303CE993" w:rsidR="004410DD" w:rsidRPr="00782ED8" w:rsidRDefault="00D65511" w:rsidP="004410DD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  <w:t>The Biomedical Scientist</w:t>
            </w:r>
          </w:p>
        </w:tc>
        <w:tc>
          <w:tcPr>
            <w:tcW w:w="4678" w:type="dxa"/>
          </w:tcPr>
          <w:p w14:paraId="0A0E3883" w14:textId="7B9FE287" w:rsidR="004410DD" w:rsidRPr="00782ED8" w:rsidRDefault="00D65511" w:rsidP="004410DD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</w:tr>
      <w:tr w:rsidR="00D65511" w:rsidRPr="00C734F4" w14:paraId="61ABA34A" w14:textId="77777777" w:rsidTr="004B5292">
        <w:tc>
          <w:tcPr>
            <w:tcW w:w="4928" w:type="dxa"/>
          </w:tcPr>
          <w:p w14:paraId="67DCC2BE" w14:textId="23231CFE" w:rsidR="00D65511" w:rsidRPr="00782ED8" w:rsidRDefault="00D65511" w:rsidP="00D6551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 Standard Microbiology Investigations</w:t>
            </w:r>
          </w:p>
        </w:tc>
        <w:tc>
          <w:tcPr>
            <w:tcW w:w="4678" w:type="dxa"/>
          </w:tcPr>
          <w:p w14:paraId="1B27D1E3" w14:textId="67D988C7" w:rsidR="00D65511" w:rsidRPr="00782ED8" w:rsidRDefault="00D65511" w:rsidP="00D65511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  <w:r w:rsidRPr="00782ED8">
              <w:rPr>
                <w:rFonts w:asciiTheme="majorHAnsi" w:hAnsiTheme="majorHAnsi" w:cstheme="majorHAnsi"/>
                <w:iCs/>
                <w:szCs w:val="24"/>
              </w:rPr>
              <w:t>World Health Organisation</w:t>
            </w:r>
          </w:p>
        </w:tc>
      </w:tr>
      <w:bookmarkEnd w:id="3"/>
    </w:tbl>
    <w:p w14:paraId="45E1722E" w14:textId="18ED4209" w:rsidR="002158D2" w:rsidRPr="00C734F4" w:rsidRDefault="002158D2">
      <w:pPr>
        <w:spacing w:after="200" w:line="276" w:lineRule="auto"/>
        <w:rPr>
          <w:b/>
          <w:color w:val="000000" w:themeColor="text1"/>
          <w:kern w:val="32"/>
          <w:sz w:val="32"/>
          <w:szCs w:val="32"/>
        </w:rPr>
      </w:pPr>
    </w:p>
    <w:sectPr w:rsidR="002158D2" w:rsidRPr="00C734F4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6870" w14:textId="77777777" w:rsidR="00BC5FF7" w:rsidRDefault="00BC5FF7" w:rsidP="002A2495">
      <w:r>
        <w:separator/>
      </w:r>
    </w:p>
  </w:endnote>
  <w:endnote w:type="continuationSeparator" w:id="0">
    <w:p w14:paraId="4BB4A99D" w14:textId="77777777" w:rsidR="00BC5FF7" w:rsidRDefault="00BC5FF7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1407" w14:textId="77777777" w:rsidR="00BC5FF7" w:rsidRDefault="00BC5FF7" w:rsidP="002A2495">
      <w:r>
        <w:separator/>
      </w:r>
    </w:p>
  </w:footnote>
  <w:footnote w:type="continuationSeparator" w:id="0">
    <w:p w14:paraId="3B273D95" w14:textId="77777777" w:rsidR="00BC5FF7" w:rsidRDefault="00BC5FF7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E6"/>
    <w:rsid w:val="00016125"/>
    <w:rsid w:val="00034E91"/>
    <w:rsid w:val="00041C0E"/>
    <w:rsid w:val="000458E5"/>
    <w:rsid w:val="00052FD3"/>
    <w:rsid w:val="00053629"/>
    <w:rsid w:val="00062DA2"/>
    <w:rsid w:val="000748F0"/>
    <w:rsid w:val="00087DCE"/>
    <w:rsid w:val="000A1634"/>
    <w:rsid w:val="000A2C9A"/>
    <w:rsid w:val="000A4981"/>
    <w:rsid w:val="000A6F3C"/>
    <w:rsid w:val="000B2CF1"/>
    <w:rsid w:val="000E2A69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C5FCD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21C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1074E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5A8A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B3715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21243"/>
    <w:rsid w:val="00631070"/>
    <w:rsid w:val="00632652"/>
    <w:rsid w:val="00643435"/>
    <w:rsid w:val="00647DE0"/>
    <w:rsid w:val="00664E63"/>
    <w:rsid w:val="00691FA7"/>
    <w:rsid w:val="0069273E"/>
    <w:rsid w:val="006A0A39"/>
    <w:rsid w:val="006C4E6F"/>
    <w:rsid w:val="006F3F62"/>
    <w:rsid w:val="0071029F"/>
    <w:rsid w:val="00716DE9"/>
    <w:rsid w:val="007242C4"/>
    <w:rsid w:val="00736F0B"/>
    <w:rsid w:val="00757549"/>
    <w:rsid w:val="007661FC"/>
    <w:rsid w:val="00771845"/>
    <w:rsid w:val="00782ED8"/>
    <w:rsid w:val="0079413E"/>
    <w:rsid w:val="007A0052"/>
    <w:rsid w:val="007A5A94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36DCD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269FB"/>
    <w:rsid w:val="0093505C"/>
    <w:rsid w:val="00952C3B"/>
    <w:rsid w:val="009634EC"/>
    <w:rsid w:val="00965BAD"/>
    <w:rsid w:val="009A1F68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E5356"/>
    <w:rsid w:val="00B1155A"/>
    <w:rsid w:val="00B401A9"/>
    <w:rsid w:val="00B67D4F"/>
    <w:rsid w:val="00B81A2F"/>
    <w:rsid w:val="00B8372B"/>
    <w:rsid w:val="00B842FE"/>
    <w:rsid w:val="00B97F35"/>
    <w:rsid w:val="00BA3B29"/>
    <w:rsid w:val="00BC0F30"/>
    <w:rsid w:val="00BC5FF7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D4977"/>
    <w:rsid w:val="00CF206F"/>
    <w:rsid w:val="00CF30CD"/>
    <w:rsid w:val="00D10564"/>
    <w:rsid w:val="00D44221"/>
    <w:rsid w:val="00D46A53"/>
    <w:rsid w:val="00D65511"/>
    <w:rsid w:val="00D67D83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97872"/>
    <w:rsid w:val="00ED7394"/>
    <w:rsid w:val="00EF1F63"/>
    <w:rsid w:val="00F00AD4"/>
    <w:rsid w:val="00F30795"/>
    <w:rsid w:val="00F4176A"/>
    <w:rsid w:val="00F55FD1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2723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Ward</dc:creator>
  <cp:lastModifiedBy>Chris Ward</cp:lastModifiedBy>
  <cp:revision>6</cp:revision>
  <cp:lastPrinted>2020-01-27T13:01:00Z</cp:lastPrinted>
  <dcterms:created xsi:type="dcterms:W3CDTF">2025-12-23T08:54:00Z</dcterms:created>
  <dcterms:modified xsi:type="dcterms:W3CDTF">2026-01-02T17:04:00Z</dcterms:modified>
</cp:coreProperties>
</file>