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69647" w14:textId="69934863" w:rsidR="00856702" w:rsidRDefault="00B8372B" w:rsidP="003E6931">
      <w:pPr>
        <w:jc w:val="center"/>
        <w:rPr>
          <w:b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173359D" wp14:editId="2BDC8DB8">
            <wp:extent cx="1851660" cy="1447800"/>
            <wp:effectExtent l="0" t="0" r="0" b="0"/>
            <wp:docPr id="1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FEC0C" w14:textId="77777777" w:rsidR="00856702" w:rsidRDefault="00856702" w:rsidP="002F4621">
      <w:pPr>
        <w:rPr>
          <w:b/>
          <w:color w:val="000000" w:themeColor="text1"/>
          <w:sz w:val="28"/>
          <w:szCs w:val="22"/>
        </w:rPr>
      </w:pPr>
    </w:p>
    <w:p w14:paraId="352C279C" w14:textId="77777777" w:rsidR="00EF1F63" w:rsidRPr="009860DC" w:rsidRDefault="00EF1F63" w:rsidP="00EF1F63">
      <w:pPr>
        <w:rPr>
          <w:b/>
          <w:sz w:val="28"/>
          <w:szCs w:val="22"/>
        </w:rPr>
      </w:pPr>
      <w:r w:rsidRPr="009860DC">
        <w:rPr>
          <w:b/>
          <w:sz w:val="28"/>
          <w:szCs w:val="22"/>
        </w:rPr>
        <w:t>CLINICAL CHEMISTRY</w:t>
      </w:r>
    </w:p>
    <w:p w14:paraId="0E29AFD9" w14:textId="787AE75A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704BC5C3" w14:textId="77777777" w:rsidR="005F10FC" w:rsidRPr="005F10FC" w:rsidRDefault="005F10FC" w:rsidP="005F10FC"/>
    <w:p w14:paraId="79F855B3" w14:textId="5106E4FE" w:rsidR="00EF1F63" w:rsidRPr="005F10FC" w:rsidRDefault="005F10FC" w:rsidP="00EF1F63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61932C4F" w14:textId="49ECCE93" w:rsidR="00D46A53" w:rsidRDefault="00D46A53" w:rsidP="00D46A53">
      <w:bookmarkStart w:id="0" w:name="_Hlk91512008"/>
      <w:r w:rsidRPr="004C1311">
        <w:t xml:space="preserve">Ahmed N. (ed.) </w:t>
      </w:r>
      <w:r w:rsidRPr="004C1311">
        <w:rPr>
          <w:i/>
        </w:rPr>
        <w:t>Clinical Biochemistry</w:t>
      </w:r>
      <w:r w:rsidR="00393C3F">
        <w:rPr>
          <w:i/>
        </w:rPr>
        <w:t xml:space="preserve"> (Fundamentals of Biomedical Science)</w:t>
      </w:r>
      <w:r w:rsidRPr="004C1311">
        <w:rPr>
          <w:i/>
        </w:rPr>
        <w:t xml:space="preserve">. </w:t>
      </w:r>
      <w:r w:rsidRPr="004C1311">
        <w:t>2</w:t>
      </w:r>
      <w:r w:rsidRPr="004C1311">
        <w:rPr>
          <w:vertAlign w:val="superscript"/>
        </w:rPr>
        <w:t>nd</w:t>
      </w:r>
      <w:r w:rsidRPr="004C1311">
        <w:t xml:space="preserve"> ed</w:t>
      </w:r>
      <w:r w:rsidRPr="004C1311">
        <w:rPr>
          <w:i/>
        </w:rPr>
        <w:t xml:space="preserve">. </w:t>
      </w:r>
      <w:r w:rsidRPr="004C1311">
        <w:t xml:space="preserve">Oxford University Press; 2016. </w:t>
      </w:r>
    </w:p>
    <w:p w14:paraId="6617C3D7" w14:textId="77777777" w:rsidR="00D46A53" w:rsidRPr="004C1311" w:rsidRDefault="00D46A53" w:rsidP="00D46A53">
      <w:pPr>
        <w:rPr>
          <w:b/>
          <w:bCs/>
        </w:rPr>
      </w:pPr>
    </w:p>
    <w:p w14:paraId="2E040C5A" w14:textId="5A7DC72B" w:rsidR="00BB0191" w:rsidRPr="00D97336" w:rsidRDefault="00BB0191" w:rsidP="00D46A53">
      <w:r w:rsidRPr="00D97336">
        <w:t xml:space="preserve">Armstrong J, Pascu O. </w:t>
      </w:r>
      <w:r w:rsidRPr="00D97336">
        <w:rPr>
          <w:i/>
          <w:iCs/>
        </w:rPr>
        <w:t>The Toxicology Handbook</w:t>
      </w:r>
      <w:r w:rsidRPr="00D97336">
        <w:t>. 4</w:t>
      </w:r>
      <w:r w:rsidRPr="00D97336">
        <w:rPr>
          <w:vertAlign w:val="superscript"/>
        </w:rPr>
        <w:t>th</w:t>
      </w:r>
      <w:r w:rsidRPr="00D97336">
        <w:t xml:space="preserve"> ed. Elsevier; 2022.</w:t>
      </w:r>
    </w:p>
    <w:p w14:paraId="6B2D29B8" w14:textId="77777777" w:rsidR="00BB0191" w:rsidRPr="00D97336" w:rsidRDefault="00BB0191" w:rsidP="00D46A53"/>
    <w:p w14:paraId="38C0F396" w14:textId="6C5A9C5A" w:rsidR="00D46A53" w:rsidRPr="00D97336" w:rsidRDefault="00D46A53" w:rsidP="00D46A53">
      <w:r w:rsidRPr="00D97336">
        <w:t>Baynes J</w:t>
      </w:r>
      <w:r w:rsidR="009F05A4" w:rsidRPr="00D97336">
        <w:t>,</w:t>
      </w:r>
      <w:r w:rsidRPr="00D97336">
        <w:t xml:space="preserve"> </w:t>
      </w:r>
      <w:proofErr w:type="spellStart"/>
      <w:r w:rsidRPr="00D97336">
        <w:t>Dominiczak</w:t>
      </w:r>
      <w:proofErr w:type="spellEnd"/>
      <w:r w:rsidRPr="00D97336">
        <w:t xml:space="preserve"> M. </w:t>
      </w:r>
      <w:r w:rsidR="00C02B2E" w:rsidRPr="00D97336">
        <w:t xml:space="preserve">(eds.) </w:t>
      </w:r>
      <w:r w:rsidRPr="00D97336">
        <w:rPr>
          <w:i/>
        </w:rPr>
        <w:t>Medical Biochemistry</w:t>
      </w:r>
      <w:r w:rsidRPr="00D97336">
        <w:t xml:space="preserve">. </w:t>
      </w:r>
      <w:r w:rsidR="00C02B2E" w:rsidRPr="00D97336">
        <w:t>6</w:t>
      </w:r>
      <w:r w:rsidRPr="00D97336">
        <w:rPr>
          <w:vertAlign w:val="superscript"/>
        </w:rPr>
        <w:t>th</w:t>
      </w:r>
      <w:r w:rsidRPr="00D97336">
        <w:t xml:space="preserve"> ed. Elsevier; 20</w:t>
      </w:r>
      <w:r w:rsidR="00C02B2E" w:rsidRPr="00D97336">
        <w:t>22.</w:t>
      </w:r>
      <w:r w:rsidRPr="00D97336">
        <w:t xml:space="preserve"> </w:t>
      </w:r>
    </w:p>
    <w:p w14:paraId="5D4D8B38" w14:textId="77777777" w:rsidR="00D46A53" w:rsidRPr="00D97336" w:rsidRDefault="00D46A53" w:rsidP="00D46A53"/>
    <w:p w14:paraId="02E2D95C" w14:textId="6E18C7B4" w:rsidR="00D46A53" w:rsidRPr="00D97336" w:rsidRDefault="00D46A53" w:rsidP="00D46A53">
      <w:r w:rsidRPr="00D97336">
        <w:t>Berg JM, Gatto G</w:t>
      </w:r>
      <w:r w:rsidR="00F62724" w:rsidRPr="00D97336">
        <w:t>J</w:t>
      </w:r>
      <w:r w:rsidRPr="00D97336">
        <w:t xml:space="preserve">, </w:t>
      </w:r>
      <w:r w:rsidR="00F62724" w:rsidRPr="00D97336">
        <w:t xml:space="preserve">Hines JK, </w:t>
      </w:r>
      <w:proofErr w:type="spellStart"/>
      <w:r w:rsidRPr="00D97336">
        <w:t>Stryer</w:t>
      </w:r>
      <w:proofErr w:type="spellEnd"/>
      <w:r w:rsidRPr="00D97336">
        <w:t xml:space="preserve"> L</w:t>
      </w:r>
      <w:r w:rsidR="00F62724" w:rsidRPr="00D97336">
        <w:t xml:space="preserve">, </w:t>
      </w:r>
      <w:proofErr w:type="spellStart"/>
      <w:r w:rsidR="00F62724" w:rsidRPr="00D97336">
        <w:t>Tymoczko</w:t>
      </w:r>
      <w:proofErr w:type="spellEnd"/>
      <w:r w:rsidR="00F62724" w:rsidRPr="00D97336">
        <w:t xml:space="preserve"> JL</w:t>
      </w:r>
      <w:r w:rsidRPr="00D97336">
        <w:t xml:space="preserve">. </w:t>
      </w:r>
      <w:r w:rsidRPr="00D97336">
        <w:rPr>
          <w:i/>
          <w:iCs/>
        </w:rPr>
        <w:t>Biochemistry</w:t>
      </w:r>
      <w:r w:rsidRPr="00D97336">
        <w:t xml:space="preserve">. </w:t>
      </w:r>
      <w:r w:rsidR="00F62724" w:rsidRPr="00D97336">
        <w:t>10</w:t>
      </w:r>
      <w:r w:rsidRPr="00D97336">
        <w:rPr>
          <w:vertAlign w:val="superscript"/>
        </w:rPr>
        <w:t>th</w:t>
      </w:r>
      <w:r w:rsidRPr="00D97336">
        <w:t xml:space="preserve"> ed. WH Freeman</w:t>
      </w:r>
      <w:r w:rsidR="00F62724" w:rsidRPr="00D97336">
        <w:t xml:space="preserve"> and Co.</w:t>
      </w:r>
      <w:r w:rsidRPr="00D97336">
        <w:t>; 20</w:t>
      </w:r>
      <w:r w:rsidR="00F62724" w:rsidRPr="00D97336">
        <w:t>23</w:t>
      </w:r>
      <w:r w:rsidRPr="00D97336">
        <w:t xml:space="preserve">. </w:t>
      </w:r>
    </w:p>
    <w:p w14:paraId="53B9551E" w14:textId="77777777" w:rsidR="00D46A53" w:rsidRPr="00D97336" w:rsidRDefault="00D46A53" w:rsidP="00D46A53"/>
    <w:p w14:paraId="080350AC" w14:textId="3DAD4E38" w:rsidR="00D46A53" w:rsidRPr="00D97336" w:rsidRDefault="00D46A53" w:rsidP="00D46A53">
      <w:r w:rsidRPr="00D97336">
        <w:t>Bishop ML, Fody EP,</w:t>
      </w:r>
      <w:r w:rsidR="009F05A4" w:rsidRPr="00D97336">
        <w:t xml:space="preserve"> Van Siclen C, Mistler JM, Moy M</w:t>
      </w:r>
      <w:r w:rsidRPr="00D97336">
        <w:t xml:space="preserve">. </w:t>
      </w:r>
      <w:r w:rsidRPr="00D97336">
        <w:rPr>
          <w:i/>
        </w:rPr>
        <w:t xml:space="preserve">Clinical Chemistry: Principles, Techniques and Correlations. </w:t>
      </w:r>
      <w:r w:rsidR="009F05A4" w:rsidRPr="00D97336">
        <w:rPr>
          <w:iCs/>
        </w:rPr>
        <w:t>9</w:t>
      </w:r>
      <w:r w:rsidRPr="00D97336">
        <w:rPr>
          <w:vertAlign w:val="superscript"/>
        </w:rPr>
        <w:t>th</w:t>
      </w:r>
      <w:r w:rsidRPr="00D97336">
        <w:t xml:space="preserve"> ed. Jones and Bartlett Publishers; 202</w:t>
      </w:r>
      <w:r w:rsidR="009F05A4" w:rsidRPr="00D97336">
        <w:t>2</w:t>
      </w:r>
      <w:r w:rsidRPr="00D97336">
        <w:t xml:space="preserve">.  </w:t>
      </w:r>
    </w:p>
    <w:p w14:paraId="023A88C4" w14:textId="77777777" w:rsidR="00D46A53" w:rsidRPr="00D97336" w:rsidRDefault="00D46A53" w:rsidP="00D46A53"/>
    <w:p w14:paraId="1A9D761C" w14:textId="77777777" w:rsidR="00D46A53" w:rsidRPr="00D97336" w:rsidRDefault="00D46A53" w:rsidP="00D46A53">
      <w:r w:rsidRPr="00D97336">
        <w:t xml:space="preserve">Devlin TM. </w:t>
      </w:r>
      <w:r w:rsidRPr="00D97336">
        <w:rPr>
          <w:i/>
          <w:iCs/>
        </w:rPr>
        <w:t>Textbook of Biochemistry with Clinical Correlations</w:t>
      </w:r>
      <w:r w:rsidRPr="00D97336">
        <w:t>. 8th ed. John Wiley and Sons; 2019.</w:t>
      </w:r>
    </w:p>
    <w:p w14:paraId="25C8DEC7" w14:textId="77777777" w:rsidR="00D46A53" w:rsidRPr="00D97336" w:rsidRDefault="00D46A53" w:rsidP="00D46A53"/>
    <w:p w14:paraId="2617312A" w14:textId="77777777" w:rsidR="00D46A53" w:rsidRPr="00D97336" w:rsidRDefault="00D46A53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Gardner D, Shoback D. </w:t>
      </w:r>
      <w:r w:rsidRPr="00D97336">
        <w:rPr>
          <w:i/>
          <w:kern w:val="32"/>
          <w:szCs w:val="32"/>
        </w:rPr>
        <w:t>Greenspan’s Basic and Clinical Endocrinology.</w:t>
      </w:r>
      <w:r w:rsidRPr="00D97336">
        <w:rPr>
          <w:kern w:val="32"/>
          <w:szCs w:val="32"/>
        </w:rPr>
        <w:t xml:space="preserve"> 10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McGraw-Hill Education; 2017. </w:t>
      </w:r>
    </w:p>
    <w:p w14:paraId="62C5ECED" w14:textId="77777777" w:rsidR="00D46A53" w:rsidRPr="00D97336" w:rsidRDefault="00D46A53" w:rsidP="00D46A53">
      <w:pPr>
        <w:rPr>
          <w:kern w:val="32"/>
          <w:szCs w:val="32"/>
        </w:rPr>
      </w:pPr>
    </w:p>
    <w:p w14:paraId="5E1F23AD" w14:textId="77777777" w:rsidR="00D46A53" w:rsidRPr="00D97336" w:rsidRDefault="00D46A53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Holt EH, </w:t>
      </w:r>
      <w:proofErr w:type="spellStart"/>
      <w:r w:rsidRPr="00D97336">
        <w:rPr>
          <w:kern w:val="32"/>
          <w:szCs w:val="32"/>
        </w:rPr>
        <w:t>Lupsa</w:t>
      </w:r>
      <w:proofErr w:type="spellEnd"/>
      <w:r w:rsidRPr="00D97336">
        <w:rPr>
          <w:kern w:val="32"/>
          <w:szCs w:val="32"/>
        </w:rPr>
        <w:t xml:space="preserve"> B, Lee G, </w:t>
      </w:r>
      <w:proofErr w:type="spellStart"/>
      <w:r w:rsidRPr="00D97336">
        <w:rPr>
          <w:kern w:val="32"/>
          <w:szCs w:val="32"/>
        </w:rPr>
        <w:t>Bassyouni</w:t>
      </w:r>
      <w:proofErr w:type="spellEnd"/>
      <w:r w:rsidRPr="00D97336">
        <w:rPr>
          <w:kern w:val="32"/>
          <w:szCs w:val="32"/>
        </w:rPr>
        <w:t xml:space="preserve"> H, Goodman H. </w:t>
      </w:r>
      <w:r w:rsidRPr="00D97336">
        <w:rPr>
          <w:i/>
          <w:iCs/>
          <w:kern w:val="32"/>
          <w:szCs w:val="32"/>
        </w:rPr>
        <w:t>Goodman’s Basic Medical Endocrinology.</w:t>
      </w:r>
      <w:r w:rsidRPr="00D97336">
        <w:rPr>
          <w:kern w:val="32"/>
          <w:szCs w:val="32"/>
        </w:rPr>
        <w:t xml:space="preserve"> 5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Elsevier; 2021.</w:t>
      </w:r>
    </w:p>
    <w:p w14:paraId="6BA88D0B" w14:textId="77777777" w:rsidR="00D46A53" w:rsidRPr="00D97336" w:rsidRDefault="00D46A53" w:rsidP="00D46A53">
      <w:pPr>
        <w:rPr>
          <w:kern w:val="32"/>
          <w:szCs w:val="32"/>
        </w:rPr>
      </w:pPr>
    </w:p>
    <w:p w14:paraId="3C37E019" w14:textId="462ACF13" w:rsidR="00D46A53" w:rsidRPr="00D97336" w:rsidRDefault="00D46A53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Jameson JL. </w:t>
      </w:r>
      <w:r w:rsidRPr="00D97336">
        <w:rPr>
          <w:i/>
          <w:kern w:val="32"/>
          <w:szCs w:val="32"/>
        </w:rPr>
        <w:t>Harrison’s Endocrinology</w:t>
      </w:r>
      <w:r w:rsidRPr="00D97336">
        <w:rPr>
          <w:kern w:val="32"/>
          <w:szCs w:val="32"/>
        </w:rPr>
        <w:t>. 4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Mc-Graw-Hill Education; 2016. </w:t>
      </w:r>
    </w:p>
    <w:p w14:paraId="7356EFDB" w14:textId="693C8A3C" w:rsidR="009B78DB" w:rsidRPr="00D97336" w:rsidRDefault="009B78DB" w:rsidP="00D46A53">
      <w:pPr>
        <w:rPr>
          <w:kern w:val="32"/>
          <w:szCs w:val="32"/>
        </w:rPr>
      </w:pPr>
    </w:p>
    <w:p w14:paraId="52900C5E" w14:textId="200F7798" w:rsidR="009B78DB" w:rsidRPr="00D97336" w:rsidRDefault="009B78DB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Kennelly PJ, Botham KM, McGuiness O, Rodwell VW, Weil </w:t>
      </w:r>
      <w:r w:rsidR="00A9530C" w:rsidRPr="00D97336">
        <w:rPr>
          <w:kern w:val="32"/>
          <w:szCs w:val="32"/>
        </w:rPr>
        <w:t xml:space="preserve">PA. </w:t>
      </w:r>
      <w:r w:rsidR="00A9530C" w:rsidRPr="00D97336">
        <w:rPr>
          <w:i/>
          <w:iCs/>
          <w:kern w:val="32"/>
          <w:szCs w:val="32"/>
        </w:rPr>
        <w:t>Harper’s Illustrated Biochemistry</w:t>
      </w:r>
      <w:r w:rsidR="00A9530C" w:rsidRPr="00D97336">
        <w:rPr>
          <w:kern w:val="32"/>
          <w:szCs w:val="32"/>
        </w:rPr>
        <w:t>. 32</w:t>
      </w:r>
      <w:r w:rsidR="00A9530C" w:rsidRPr="00D97336">
        <w:rPr>
          <w:kern w:val="32"/>
          <w:szCs w:val="32"/>
          <w:vertAlign w:val="superscript"/>
        </w:rPr>
        <w:t>nd</w:t>
      </w:r>
      <w:r w:rsidR="00A9530C" w:rsidRPr="00D97336">
        <w:rPr>
          <w:kern w:val="32"/>
          <w:szCs w:val="32"/>
        </w:rPr>
        <w:t xml:space="preserve"> ed. McGraw Hill; 2022.</w:t>
      </w:r>
    </w:p>
    <w:p w14:paraId="469CF7B9" w14:textId="77777777" w:rsidR="00D46A53" w:rsidRPr="00D97336" w:rsidRDefault="00D46A53" w:rsidP="00D46A53">
      <w:pPr>
        <w:rPr>
          <w:kern w:val="32"/>
          <w:szCs w:val="32"/>
        </w:rPr>
      </w:pPr>
    </w:p>
    <w:p w14:paraId="0ED8497B" w14:textId="77777777" w:rsidR="00D46A53" w:rsidRPr="00D97336" w:rsidRDefault="00D46A53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Klaassen CD. </w:t>
      </w:r>
      <w:proofErr w:type="spellStart"/>
      <w:r w:rsidRPr="00D97336">
        <w:rPr>
          <w:i/>
          <w:kern w:val="32"/>
          <w:szCs w:val="32"/>
        </w:rPr>
        <w:t>Casarett</w:t>
      </w:r>
      <w:proofErr w:type="spellEnd"/>
      <w:r w:rsidRPr="00D97336">
        <w:rPr>
          <w:i/>
          <w:kern w:val="32"/>
          <w:szCs w:val="32"/>
        </w:rPr>
        <w:t xml:space="preserve"> and Doull’s Toxicology: The Basic Science of Poisons.</w:t>
      </w:r>
      <w:r w:rsidRPr="00D97336">
        <w:rPr>
          <w:kern w:val="32"/>
          <w:szCs w:val="32"/>
        </w:rPr>
        <w:t xml:space="preserve"> 9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McGraw-Hill Education; 2018. </w:t>
      </w:r>
    </w:p>
    <w:p w14:paraId="1A879BEC" w14:textId="77777777" w:rsidR="00D46A53" w:rsidRPr="00D97336" w:rsidRDefault="00D46A53" w:rsidP="00D46A53">
      <w:pPr>
        <w:rPr>
          <w:kern w:val="32"/>
          <w:szCs w:val="32"/>
        </w:rPr>
      </w:pPr>
    </w:p>
    <w:p w14:paraId="5F7574F7" w14:textId="77777777" w:rsidR="00D46A53" w:rsidRPr="00D97336" w:rsidRDefault="00D46A53" w:rsidP="00D46A53">
      <w:pPr>
        <w:rPr>
          <w:kern w:val="32"/>
          <w:szCs w:val="32"/>
        </w:rPr>
      </w:pPr>
      <w:proofErr w:type="spellStart"/>
      <w:r w:rsidRPr="00D97336">
        <w:rPr>
          <w:kern w:val="32"/>
          <w:szCs w:val="32"/>
        </w:rPr>
        <w:lastRenderedPageBreak/>
        <w:t>Klasseen</w:t>
      </w:r>
      <w:proofErr w:type="spellEnd"/>
      <w:r w:rsidRPr="00D97336">
        <w:rPr>
          <w:kern w:val="32"/>
          <w:szCs w:val="32"/>
        </w:rPr>
        <w:t xml:space="preserve"> CD, Watkins JB. </w:t>
      </w:r>
      <w:proofErr w:type="spellStart"/>
      <w:r w:rsidRPr="00D97336">
        <w:rPr>
          <w:i/>
          <w:kern w:val="32"/>
          <w:szCs w:val="32"/>
        </w:rPr>
        <w:t>Casarett</w:t>
      </w:r>
      <w:proofErr w:type="spellEnd"/>
      <w:r w:rsidRPr="00D97336">
        <w:rPr>
          <w:i/>
          <w:kern w:val="32"/>
          <w:szCs w:val="32"/>
        </w:rPr>
        <w:t xml:space="preserve"> and Doull’s Essentials of Toxicology.</w:t>
      </w:r>
      <w:r w:rsidRPr="00D97336">
        <w:rPr>
          <w:iCs/>
          <w:kern w:val="32"/>
          <w:szCs w:val="32"/>
        </w:rPr>
        <w:t xml:space="preserve"> 4</w:t>
      </w:r>
      <w:r w:rsidRPr="00D97336">
        <w:rPr>
          <w:iCs/>
          <w:kern w:val="32"/>
          <w:szCs w:val="32"/>
          <w:vertAlign w:val="superscript"/>
        </w:rPr>
        <w:t>th</w:t>
      </w:r>
      <w:r w:rsidRPr="00D97336">
        <w:rPr>
          <w:i/>
          <w:kern w:val="32"/>
          <w:szCs w:val="32"/>
        </w:rPr>
        <w:t xml:space="preserve">. </w:t>
      </w:r>
      <w:r w:rsidRPr="00D97336">
        <w:rPr>
          <w:kern w:val="32"/>
          <w:szCs w:val="32"/>
        </w:rPr>
        <w:t>McGraw-Hill / Medical; 2021.</w:t>
      </w:r>
    </w:p>
    <w:p w14:paraId="38150577" w14:textId="77777777" w:rsidR="00D46A53" w:rsidRPr="00D97336" w:rsidRDefault="00D46A53" w:rsidP="00D46A53">
      <w:pPr>
        <w:rPr>
          <w:kern w:val="32"/>
          <w:szCs w:val="32"/>
        </w:rPr>
      </w:pPr>
    </w:p>
    <w:p w14:paraId="197F88FD" w14:textId="77777777" w:rsidR="00D46A53" w:rsidRPr="00D97336" w:rsidRDefault="00D46A53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Lee BM, Kacew S, Kim HS. (eds.) </w:t>
      </w:r>
      <w:r w:rsidRPr="00D97336">
        <w:rPr>
          <w:i/>
          <w:kern w:val="32"/>
          <w:szCs w:val="32"/>
        </w:rPr>
        <w:t>Lu’s Basic Toxicology: Fundamentals, Target Organs and Risk Assessment</w:t>
      </w:r>
      <w:r w:rsidRPr="00D97336">
        <w:rPr>
          <w:kern w:val="32"/>
          <w:szCs w:val="32"/>
        </w:rPr>
        <w:t>. 7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CRC Press; 2017. </w:t>
      </w:r>
    </w:p>
    <w:p w14:paraId="4CB714D2" w14:textId="77777777" w:rsidR="00D46A53" w:rsidRPr="00D97336" w:rsidRDefault="00D46A53" w:rsidP="00D46A53"/>
    <w:p w14:paraId="26A69DFF" w14:textId="77777777" w:rsidR="00D46A53" w:rsidRPr="00D97336" w:rsidRDefault="00D46A53" w:rsidP="00D46A53">
      <w:r w:rsidRPr="00D97336">
        <w:t xml:space="preserve">Liberman M, Peet M. </w:t>
      </w:r>
      <w:r w:rsidRPr="00D97336">
        <w:rPr>
          <w:i/>
        </w:rPr>
        <w:t xml:space="preserve">Marks’ </w:t>
      </w:r>
      <w:r w:rsidRPr="00D97336">
        <w:rPr>
          <w:i/>
          <w:iCs/>
        </w:rPr>
        <w:t>Basic Medical Biochemistry.</w:t>
      </w:r>
      <w:r w:rsidRPr="00D97336">
        <w:t xml:space="preserve"> 5</w:t>
      </w:r>
      <w:r w:rsidRPr="00D97336">
        <w:rPr>
          <w:vertAlign w:val="superscript"/>
        </w:rPr>
        <w:t>th</w:t>
      </w:r>
      <w:r w:rsidRPr="00D97336">
        <w:t xml:space="preserve"> International ed. Lippincott Williams and Wilkins; 2018. </w:t>
      </w:r>
    </w:p>
    <w:p w14:paraId="61081414" w14:textId="77777777" w:rsidR="00D46A53" w:rsidRPr="00D97336" w:rsidRDefault="00D46A53" w:rsidP="00D46A53"/>
    <w:p w14:paraId="0DF7384F" w14:textId="77777777" w:rsidR="00D46A53" w:rsidRPr="00D97336" w:rsidRDefault="00D46A53" w:rsidP="00D46A53">
      <w:r w:rsidRPr="00D97336">
        <w:t xml:space="preserve">Marshall WJ, Lapsley M, Day A, Shipman K. </w:t>
      </w:r>
      <w:r w:rsidRPr="00D97336">
        <w:rPr>
          <w:i/>
          <w:iCs/>
        </w:rPr>
        <w:t>Clinical Chemistry.</w:t>
      </w:r>
      <w:r w:rsidRPr="00D97336">
        <w:t xml:space="preserve"> 9</w:t>
      </w:r>
      <w:r w:rsidRPr="00D97336">
        <w:rPr>
          <w:vertAlign w:val="superscript"/>
        </w:rPr>
        <w:t>th</w:t>
      </w:r>
      <w:r w:rsidRPr="00D97336">
        <w:t xml:space="preserve"> ed. Elsevier; 2020. </w:t>
      </w:r>
    </w:p>
    <w:p w14:paraId="6037D789" w14:textId="77777777" w:rsidR="00D46A53" w:rsidRPr="00D97336" w:rsidRDefault="00D46A53" w:rsidP="00D46A53"/>
    <w:p w14:paraId="59547C62" w14:textId="1C845BAA" w:rsidR="00D46A53" w:rsidRPr="00D97336" w:rsidRDefault="00D46A53" w:rsidP="00D46A53">
      <w:r w:rsidRPr="00D97336">
        <w:rPr>
          <w:kern w:val="32"/>
          <w:szCs w:val="32"/>
        </w:rPr>
        <w:t xml:space="preserve">Melmed S, </w:t>
      </w:r>
      <w:proofErr w:type="spellStart"/>
      <w:r w:rsidRPr="00D97336">
        <w:rPr>
          <w:kern w:val="32"/>
          <w:szCs w:val="32"/>
        </w:rPr>
        <w:t>Auchus</w:t>
      </w:r>
      <w:proofErr w:type="spellEnd"/>
      <w:r w:rsidRPr="00D97336">
        <w:rPr>
          <w:kern w:val="32"/>
          <w:szCs w:val="32"/>
        </w:rPr>
        <w:t xml:space="preserve"> R, Goldfine A, Rosen C</w:t>
      </w:r>
      <w:r w:rsidR="00005D32" w:rsidRPr="00D97336">
        <w:rPr>
          <w:kern w:val="32"/>
          <w:szCs w:val="32"/>
        </w:rPr>
        <w:t>, Kopp P. (eds.)</w:t>
      </w:r>
      <w:r w:rsidRPr="00D97336">
        <w:rPr>
          <w:kern w:val="32"/>
          <w:szCs w:val="32"/>
        </w:rPr>
        <w:t xml:space="preserve"> </w:t>
      </w:r>
      <w:r w:rsidRPr="00D97336">
        <w:rPr>
          <w:i/>
          <w:kern w:val="32"/>
          <w:szCs w:val="32"/>
        </w:rPr>
        <w:t>Williams Textbook of Endocrinology.</w:t>
      </w:r>
      <w:r w:rsidRPr="00D97336">
        <w:rPr>
          <w:kern w:val="32"/>
          <w:szCs w:val="32"/>
        </w:rPr>
        <w:t xml:space="preserve"> 1</w:t>
      </w:r>
      <w:r w:rsidR="00005D32" w:rsidRPr="00D97336">
        <w:rPr>
          <w:kern w:val="32"/>
          <w:szCs w:val="32"/>
        </w:rPr>
        <w:t>5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Elsevier; 20</w:t>
      </w:r>
      <w:r w:rsidR="00005D32" w:rsidRPr="00D97336">
        <w:rPr>
          <w:kern w:val="32"/>
          <w:szCs w:val="32"/>
        </w:rPr>
        <w:t>24.</w:t>
      </w:r>
    </w:p>
    <w:p w14:paraId="19349EBC" w14:textId="77777777" w:rsidR="00D46A53" w:rsidRPr="00D97336" w:rsidRDefault="00D46A53" w:rsidP="00D46A53"/>
    <w:p w14:paraId="12BA51B0" w14:textId="52054442" w:rsidR="00D46A53" w:rsidRPr="00D97336" w:rsidRDefault="00D46A53" w:rsidP="00D46A53">
      <w:r w:rsidRPr="00D97336">
        <w:t xml:space="preserve">Murphy M, Srivastava R, Deans K. </w:t>
      </w:r>
      <w:r w:rsidRPr="00D97336">
        <w:rPr>
          <w:i/>
          <w:iCs/>
        </w:rPr>
        <w:t xml:space="preserve">Clinical Biochemistry: An Illustrated Colour Text. </w:t>
      </w:r>
      <w:r w:rsidR="00C50169" w:rsidRPr="00D97336">
        <w:t>7</w:t>
      </w:r>
      <w:r w:rsidR="00C50169" w:rsidRPr="00D97336">
        <w:rPr>
          <w:vertAlign w:val="superscript"/>
        </w:rPr>
        <w:t>th</w:t>
      </w:r>
      <w:r w:rsidR="00C50169" w:rsidRPr="00D97336">
        <w:t xml:space="preserve"> </w:t>
      </w:r>
      <w:r w:rsidRPr="00D97336">
        <w:t>ed.</w:t>
      </w:r>
      <w:r w:rsidRPr="00D97336">
        <w:rPr>
          <w:i/>
          <w:iCs/>
        </w:rPr>
        <w:t xml:space="preserve"> </w:t>
      </w:r>
      <w:r w:rsidRPr="00D97336">
        <w:t>Elsevier; 20</w:t>
      </w:r>
      <w:r w:rsidR="00C50169" w:rsidRPr="00D97336">
        <w:t>23</w:t>
      </w:r>
      <w:r w:rsidRPr="00D97336">
        <w:t>.</w:t>
      </w:r>
    </w:p>
    <w:p w14:paraId="35F26B03" w14:textId="77777777" w:rsidR="009B78DB" w:rsidRPr="00D97336" w:rsidRDefault="009B78DB" w:rsidP="00D46A53"/>
    <w:p w14:paraId="261FB318" w14:textId="77777777" w:rsidR="00D46A53" w:rsidRPr="00D97336" w:rsidRDefault="00D46A53" w:rsidP="00D46A53">
      <w:r w:rsidRPr="00D97336">
        <w:t xml:space="preserve">Nelson DL, Cox MM. </w:t>
      </w:r>
      <w:r w:rsidRPr="00D97336">
        <w:rPr>
          <w:i/>
          <w:iCs/>
        </w:rPr>
        <w:t>Lehninger Principles of Biochemistry.</w:t>
      </w:r>
      <w:r w:rsidRPr="00D97336">
        <w:t xml:space="preserve"> 8</w:t>
      </w:r>
      <w:r w:rsidRPr="00D97336">
        <w:rPr>
          <w:vertAlign w:val="superscript"/>
        </w:rPr>
        <w:t>th</w:t>
      </w:r>
      <w:r w:rsidRPr="00D97336">
        <w:t xml:space="preserve"> ed.  W. H. Freeman; 2021.</w:t>
      </w:r>
    </w:p>
    <w:p w14:paraId="2926634E" w14:textId="77777777" w:rsidR="00D46A53" w:rsidRPr="00D97336" w:rsidRDefault="00D46A53" w:rsidP="00D46A53"/>
    <w:p w14:paraId="40BC7B08" w14:textId="77777777" w:rsidR="00D46A53" w:rsidRPr="00D97336" w:rsidRDefault="00D46A53" w:rsidP="00D46A53">
      <w:proofErr w:type="spellStart"/>
      <w:r w:rsidRPr="00D97336">
        <w:t>Papachristodouloa</w:t>
      </w:r>
      <w:proofErr w:type="spellEnd"/>
      <w:r w:rsidRPr="00D97336">
        <w:t xml:space="preserve"> D, Snape A, Elliott WH, Elliott DC. </w:t>
      </w:r>
      <w:r w:rsidRPr="00D97336">
        <w:rPr>
          <w:i/>
          <w:iCs/>
        </w:rPr>
        <w:t>Biochemistry and Molecular Biology</w:t>
      </w:r>
      <w:r w:rsidRPr="00D97336">
        <w:t>. 6</w:t>
      </w:r>
      <w:r w:rsidRPr="00D97336">
        <w:rPr>
          <w:vertAlign w:val="superscript"/>
        </w:rPr>
        <w:t>th</w:t>
      </w:r>
      <w:r w:rsidRPr="00D97336">
        <w:t xml:space="preserve"> ed. Oxford University Press; 2018. </w:t>
      </w:r>
    </w:p>
    <w:p w14:paraId="19C8B7A0" w14:textId="77777777" w:rsidR="00D46A53" w:rsidRPr="00D97336" w:rsidRDefault="00D46A53" w:rsidP="00D46A53"/>
    <w:p w14:paraId="4439472C" w14:textId="77777777" w:rsidR="00D46A53" w:rsidRPr="00D97336" w:rsidRDefault="00D46A53" w:rsidP="00D46A53">
      <w:r w:rsidRPr="00D97336">
        <w:t xml:space="preserve">Rae P, Crane M. </w:t>
      </w:r>
      <w:r w:rsidRPr="00D97336">
        <w:rPr>
          <w:i/>
          <w:iCs/>
        </w:rPr>
        <w:t>Clinical Biochemistry (Lecture Notes)</w:t>
      </w:r>
      <w:r w:rsidRPr="00D97336">
        <w:t>. 10</w:t>
      </w:r>
      <w:r w:rsidRPr="00D97336">
        <w:rPr>
          <w:vertAlign w:val="superscript"/>
        </w:rPr>
        <w:t>th</w:t>
      </w:r>
      <w:r w:rsidRPr="00D97336">
        <w:t xml:space="preserve"> ed. Wiley-Blackwell; 2017.</w:t>
      </w:r>
    </w:p>
    <w:p w14:paraId="646C38DA" w14:textId="77777777" w:rsidR="00D46A53" w:rsidRPr="00D97336" w:rsidRDefault="00D46A53" w:rsidP="00D46A53"/>
    <w:p w14:paraId="26CDE32E" w14:textId="53363B7C" w:rsidR="00D46A53" w:rsidRPr="004C1311" w:rsidRDefault="00D46A53" w:rsidP="00D46A53">
      <w:r w:rsidRPr="00D97336">
        <w:t xml:space="preserve">Rifai N, </w:t>
      </w:r>
      <w:r w:rsidR="00FB44C3" w:rsidRPr="00D97336">
        <w:t>Chiu R</w:t>
      </w:r>
      <w:r w:rsidRPr="00D97336">
        <w:t>,</w:t>
      </w:r>
      <w:r w:rsidR="00FB44C3" w:rsidRPr="00D97336">
        <w:t xml:space="preserve"> Young I,</w:t>
      </w:r>
      <w:r w:rsidRPr="00D97336">
        <w:t xml:space="preserve"> Wittwer CT.</w:t>
      </w:r>
      <w:r w:rsidR="00FB44C3" w:rsidRPr="00D97336">
        <w:t xml:space="preserve"> (eds.)</w:t>
      </w:r>
      <w:r w:rsidRPr="00D97336">
        <w:t xml:space="preserve"> </w:t>
      </w:r>
      <w:r w:rsidRPr="00D97336">
        <w:rPr>
          <w:i/>
        </w:rPr>
        <w:t>Tietz Fundamentals of Clinical Chemistry and Molecular Diagnostics</w:t>
      </w:r>
      <w:r w:rsidRPr="00D97336">
        <w:t xml:space="preserve">. </w:t>
      </w:r>
      <w:r w:rsidR="00FB44C3" w:rsidRPr="00D97336">
        <w:t>9</w:t>
      </w:r>
      <w:r w:rsidRPr="00D97336">
        <w:rPr>
          <w:vertAlign w:val="superscript"/>
        </w:rPr>
        <w:t>th</w:t>
      </w:r>
      <w:r w:rsidRPr="00D97336">
        <w:t xml:space="preserve"> ed. </w:t>
      </w:r>
      <w:r w:rsidR="00FB44C3" w:rsidRPr="00D97336">
        <w:t>Elsevier</w:t>
      </w:r>
      <w:r w:rsidRPr="00D97336">
        <w:t>; 20</w:t>
      </w:r>
      <w:r w:rsidR="00FB44C3" w:rsidRPr="00D97336">
        <w:t>23</w:t>
      </w:r>
      <w:r w:rsidRPr="00D97336">
        <w:t>.</w:t>
      </w:r>
      <w:r w:rsidRPr="004C1311">
        <w:t xml:space="preserve"> </w:t>
      </w:r>
    </w:p>
    <w:p w14:paraId="43912956" w14:textId="77777777" w:rsidR="00D46A53" w:rsidRPr="004C1311" w:rsidRDefault="00D46A53" w:rsidP="00D46A53"/>
    <w:p w14:paraId="1EAC2C90" w14:textId="0C6BB865" w:rsidR="00AB250B" w:rsidRDefault="00D46A53" w:rsidP="00AB250B">
      <w:r w:rsidRPr="004C1311">
        <w:t xml:space="preserve">Voet D, Viet JG, Pratt CW. </w:t>
      </w:r>
      <w:r w:rsidRPr="004C1311">
        <w:rPr>
          <w:i/>
          <w:iCs/>
        </w:rPr>
        <w:t>Fundamentals of Biochemistry: Life at the Molecular Level</w:t>
      </w:r>
      <w:r w:rsidRPr="004C1311">
        <w:t>. 5</w:t>
      </w:r>
      <w:r w:rsidRPr="004C1311">
        <w:rPr>
          <w:vertAlign w:val="superscript"/>
        </w:rPr>
        <w:t>th</w:t>
      </w:r>
      <w:r w:rsidRPr="004C1311">
        <w:t xml:space="preserve"> ed. John Wiley &amp; Sons; 2016.</w:t>
      </w:r>
      <w:bookmarkEnd w:id="0"/>
    </w:p>
    <w:p w14:paraId="13F5C0FF" w14:textId="77777777" w:rsidR="00AB250B" w:rsidRPr="00AB250B" w:rsidRDefault="00AB250B" w:rsidP="00AB250B"/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3B0B18" w:rsidRPr="00C734F4" w14:paraId="63AEFDF7" w14:textId="77777777" w:rsidTr="00AB250B">
        <w:tc>
          <w:tcPr>
            <w:tcW w:w="9606" w:type="dxa"/>
            <w:gridSpan w:val="2"/>
            <w:shd w:val="clear" w:color="auto" w:fill="auto"/>
          </w:tcPr>
          <w:p w14:paraId="2E7899BF" w14:textId="5FF0DAE4" w:rsidR="003B0B18" w:rsidRPr="00C734F4" w:rsidRDefault="003B0B18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311554"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617934" w:rsidRPr="00C734F4" w14:paraId="29B83C6A" w14:textId="77777777" w:rsidTr="00AB250B">
        <w:tc>
          <w:tcPr>
            <w:tcW w:w="4928" w:type="dxa"/>
            <w:shd w:val="clear" w:color="auto" w:fill="auto"/>
          </w:tcPr>
          <w:p w14:paraId="2B83CCB9" w14:textId="7C3BE91D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>Annals of Clinical Biochemistry</w:t>
            </w:r>
          </w:p>
        </w:tc>
        <w:tc>
          <w:tcPr>
            <w:tcW w:w="4678" w:type="dxa"/>
            <w:shd w:val="clear" w:color="auto" w:fill="auto"/>
          </w:tcPr>
          <w:p w14:paraId="7A51A873" w14:textId="216AF499" w:rsidR="00617934" w:rsidRPr="00AB250B" w:rsidRDefault="00617934" w:rsidP="00617934">
            <w:pPr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British Journal of Biomedical Science</w:t>
            </w:r>
          </w:p>
        </w:tc>
      </w:tr>
      <w:tr w:rsidR="00617934" w:rsidRPr="00C734F4" w14:paraId="31D3D6BC" w14:textId="77777777" w:rsidTr="00196D27">
        <w:tc>
          <w:tcPr>
            <w:tcW w:w="9606" w:type="dxa"/>
            <w:gridSpan w:val="2"/>
            <w:shd w:val="clear" w:color="auto" w:fill="auto"/>
          </w:tcPr>
          <w:p w14:paraId="1D5DC824" w14:textId="27B220E4" w:rsidR="00617934" w:rsidRPr="00AB250B" w:rsidRDefault="00617934" w:rsidP="00A667A4">
            <w:pPr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Association of Clinical Biochemistry and Laboratory Medicine</w:t>
            </w:r>
          </w:p>
        </w:tc>
      </w:tr>
      <w:tr w:rsidR="00617934" w:rsidRPr="00C734F4" w14:paraId="6B05AA64" w14:textId="77777777" w:rsidTr="00AB250B">
        <w:tc>
          <w:tcPr>
            <w:tcW w:w="4928" w:type="dxa"/>
            <w:shd w:val="clear" w:color="auto" w:fill="auto"/>
          </w:tcPr>
          <w:p w14:paraId="26E1B2FB" w14:textId="6B8A95B6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  <w:tc>
          <w:tcPr>
            <w:tcW w:w="4678" w:type="dxa"/>
            <w:shd w:val="clear" w:color="auto" w:fill="auto"/>
          </w:tcPr>
          <w:p w14:paraId="3B9C0201" w14:textId="536A7E77" w:rsidR="00617934" w:rsidRPr="00AB250B" w:rsidRDefault="00617934" w:rsidP="0061793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>Clinical Biochemistry</w:t>
            </w:r>
          </w:p>
        </w:tc>
      </w:tr>
      <w:tr w:rsidR="00617934" w:rsidRPr="00C734F4" w14:paraId="1AAAAA03" w14:textId="77777777" w:rsidTr="00AB250B">
        <w:tc>
          <w:tcPr>
            <w:tcW w:w="4928" w:type="dxa"/>
            <w:shd w:val="clear" w:color="auto" w:fill="auto"/>
          </w:tcPr>
          <w:p w14:paraId="3F0271FD" w14:textId="03362812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</w:rPr>
              <w:t>Clinical Chemistry</w:t>
            </w:r>
          </w:p>
        </w:tc>
        <w:tc>
          <w:tcPr>
            <w:tcW w:w="4678" w:type="dxa"/>
            <w:shd w:val="clear" w:color="auto" w:fill="auto"/>
          </w:tcPr>
          <w:p w14:paraId="5BDBCF40" w14:textId="71EA44F8" w:rsidR="00617934" w:rsidRPr="00AB250B" w:rsidRDefault="00617934" w:rsidP="00617934">
            <w:pPr>
              <w:jc w:val="right"/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</w:rPr>
              <w:t>Clinical Chemistry</w:t>
            </w:r>
            <w:r>
              <w:rPr>
                <w:rFonts w:asciiTheme="majorHAnsi" w:hAnsiTheme="majorHAnsi" w:cstheme="majorHAnsi"/>
              </w:rPr>
              <w:t xml:space="preserve"> and Laboratory Medicine</w:t>
            </w:r>
          </w:p>
        </w:tc>
      </w:tr>
      <w:tr w:rsidR="00617934" w:rsidRPr="00C734F4" w14:paraId="0836EE1B" w14:textId="77777777" w:rsidTr="00AB250B">
        <w:tc>
          <w:tcPr>
            <w:tcW w:w="4928" w:type="dxa"/>
            <w:shd w:val="clear" w:color="auto" w:fill="auto"/>
          </w:tcPr>
          <w:p w14:paraId="06212630" w14:textId="172320E4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AB250B">
              <w:rPr>
                <w:rFonts w:asciiTheme="majorHAnsi" w:hAnsiTheme="majorHAnsi" w:cstheme="majorHAnsi"/>
              </w:rPr>
              <w:t>Diabetes Research and Clinical Practice</w:t>
            </w:r>
          </w:p>
        </w:tc>
        <w:tc>
          <w:tcPr>
            <w:tcW w:w="4678" w:type="dxa"/>
            <w:shd w:val="clear" w:color="auto" w:fill="auto"/>
          </w:tcPr>
          <w:p w14:paraId="40C2B217" w14:textId="1BB70BC3" w:rsidR="00617934" w:rsidRPr="00AB250B" w:rsidRDefault="00617934" w:rsidP="0061793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</w:rPr>
              <w:t>European Journal of Medicinal Chemistry</w:t>
            </w:r>
          </w:p>
        </w:tc>
      </w:tr>
      <w:tr w:rsidR="00617934" w:rsidRPr="00C734F4" w14:paraId="4E9B44AD" w14:textId="77777777" w:rsidTr="00AB250B">
        <w:tc>
          <w:tcPr>
            <w:tcW w:w="4928" w:type="dxa"/>
            <w:shd w:val="clear" w:color="auto" w:fill="auto"/>
          </w:tcPr>
          <w:p w14:paraId="3E593BCE" w14:textId="63E19F0B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  <w:tc>
          <w:tcPr>
            <w:tcW w:w="4678" w:type="dxa"/>
            <w:shd w:val="clear" w:color="auto" w:fill="auto"/>
          </w:tcPr>
          <w:p w14:paraId="005817F2" w14:textId="4CF83331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AB250B">
              <w:rPr>
                <w:rFonts w:asciiTheme="majorHAnsi" w:hAnsiTheme="majorHAnsi" w:cstheme="majorHAnsi"/>
                <w:szCs w:val="24"/>
              </w:rPr>
              <w:t>Institute of Biomedical Science</w:t>
            </w:r>
          </w:p>
        </w:tc>
      </w:tr>
      <w:tr w:rsidR="00617934" w:rsidRPr="00C734F4" w14:paraId="41B32714" w14:textId="77777777" w:rsidTr="00AB250B">
        <w:tc>
          <w:tcPr>
            <w:tcW w:w="4928" w:type="dxa"/>
            <w:shd w:val="clear" w:color="auto" w:fill="auto"/>
          </w:tcPr>
          <w:p w14:paraId="5597F1A6" w14:textId="3A296010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</w:rPr>
              <w:t>Journal of Clinical Laboratory Analysis</w:t>
            </w: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411E47BE" w14:textId="18CD0D4D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</w:rPr>
              <w:t xml:space="preserve">Journal of </w:t>
            </w:r>
            <w:r>
              <w:rPr>
                <w:rFonts w:asciiTheme="majorHAnsi" w:hAnsiTheme="majorHAnsi" w:cstheme="majorHAnsi"/>
              </w:rPr>
              <w:t>Medical Biochemistry</w:t>
            </w:r>
          </w:p>
        </w:tc>
      </w:tr>
      <w:tr w:rsidR="00617934" w:rsidRPr="00C734F4" w14:paraId="2264F01E" w14:textId="77777777" w:rsidTr="00AB250B">
        <w:tc>
          <w:tcPr>
            <w:tcW w:w="4928" w:type="dxa"/>
            <w:shd w:val="clear" w:color="auto" w:fill="auto"/>
          </w:tcPr>
          <w:p w14:paraId="3B96B3A5" w14:textId="76B1777A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szCs w:val="24"/>
              </w:rPr>
              <w:t>Royal College of Pathologists</w:t>
            </w:r>
          </w:p>
        </w:tc>
        <w:tc>
          <w:tcPr>
            <w:tcW w:w="4678" w:type="dxa"/>
            <w:shd w:val="clear" w:color="auto" w:fill="auto"/>
          </w:tcPr>
          <w:p w14:paraId="1F768F52" w14:textId="684A4362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</w:rPr>
              <w:t>Therapeutic Drug Monitoring</w:t>
            </w:r>
          </w:p>
        </w:tc>
      </w:tr>
      <w:tr w:rsidR="00617934" w:rsidRPr="00C734F4" w14:paraId="5E153318" w14:textId="77777777" w:rsidTr="00AB250B">
        <w:tc>
          <w:tcPr>
            <w:tcW w:w="4928" w:type="dxa"/>
            <w:shd w:val="clear" w:color="auto" w:fill="auto"/>
          </w:tcPr>
          <w:p w14:paraId="08E1FE36" w14:textId="5EB69E26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  <w:szCs w:val="24"/>
              </w:rPr>
              <w:t>The Biomedical Scientist</w:t>
            </w:r>
          </w:p>
        </w:tc>
        <w:tc>
          <w:tcPr>
            <w:tcW w:w="4678" w:type="dxa"/>
            <w:shd w:val="clear" w:color="auto" w:fill="auto"/>
          </w:tcPr>
          <w:p w14:paraId="60E220E7" w14:textId="1B30BCD5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</w:rPr>
              <w:t>Trends in Analytical Chemistry</w:t>
            </w:r>
          </w:p>
        </w:tc>
      </w:tr>
      <w:tr w:rsidR="00617934" w:rsidRPr="00C734F4" w14:paraId="47C07598" w14:textId="77777777" w:rsidTr="00AB250B">
        <w:tc>
          <w:tcPr>
            <w:tcW w:w="4928" w:type="dxa"/>
            <w:shd w:val="clear" w:color="auto" w:fill="auto"/>
          </w:tcPr>
          <w:p w14:paraId="04F3168E" w14:textId="3484BC0F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Toxicology</w:t>
            </w:r>
          </w:p>
        </w:tc>
        <w:tc>
          <w:tcPr>
            <w:tcW w:w="4678" w:type="dxa"/>
            <w:shd w:val="clear" w:color="auto" w:fill="auto"/>
          </w:tcPr>
          <w:p w14:paraId="7CB50652" w14:textId="3EF54AAE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  <w:szCs w:val="24"/>
              </w:rPr>
              <w:t>UKNEQAS</w:t>
            </w:r>
          </w:p>
        </w:tc>
      </w:tr>
      <w:tr w:rsidR="00617934" w:rsidRPr="00C734F4" w14:paraId="77CC9DD7" w14:textId="77777777" w:rsidTr="00AB250B">
        <w:tc>
          <w:tcPr>
            <w:tcW w:w="4928" w:type="dxa"/>
            <w:shd w:val="clear" w:color="auto" w:fill="auto"/>
          </w:tcPr>
          <w:p w14:paraId="3E94D51F" w14:textId="1EDDF8D7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EC0DC34" w14:textId="77777777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CD0CEE4" w14:textId="60F166C4" w:rsidR="00856702" w:rsidRPr="00AB250B" w:rsidRDefault="00856702" w:rsidP="00143530">
      <w:pPr>
        <w:spacing w:after="200" w:line="276" w:lineRule="auto"/>
        <w:rPr>
          <w:color w:val="000000" w:themeColor="text1"/>
          <w:kern w:val="32"/>
        </w:rPr>
      </w:pPr>
    </w:p>
    <w:sectPr w:rsidR="00856702" w:rsidRPr="00AB250B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515D3" w14:textId="77777777" w:rsidR="00C330FF" w:rsidRDefault="00C330FF" w:rsidP="002A2495">
      <w:r>
        <w:separator/>
      </w:r>
    </w:p>
  </w:endnote>
  <w:endnote w:type="continuationSeparator" w:id="0">
    <w:p w14:paraId="716C4B07" w14:textId="77777777" w:rsidR="00C330FF" w:rsidRDefault="00C330FF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466D1" w14:textId="77777777" w:rsidR="00C330FF" w:rsidRDefault="00C330FF" w:rsidP="002A2495">
      <w:r>
        <w:separator/>
      </w:r>
    </w:p>
  </w:footnote>
  <w:footnote w:type="continuationSeparator" w:id="0">
    <w:p w14:paraId="4F22699E" w14:textId="77777777" w:rsidR="00C330FF" w:rsidRDefault="00C330FF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05D32"/>
    <w:rsid w:val="00041C0E"/>
    <w:rsid w:val="000458E5"/>
    <w:rsid w:val="00053629"/>
    <w:rsid w:val="00062DA2"/>
    <w:rsid w:val="000631FE"/>
    <w:rsid w:val="000748F0"/>
    <w:rsid w:val="000A1634"/>
    <w:rsid w:val="000A2C9A"/>
    <w:rsid w:val="000A6F3C"/>
    <w:rsid w:val="000B2CF1"/>
    <w:rsid w:val="000F3213"/>
    <w:rsid w:val="00106CD3"/>
    <w:rsid w:val="00107F49"/>
    <w:rsid w:val="00111C74"/>
    <w:rsid w:val="00143530"/>
    <w:rsid w:val="00156771"/>
    <w:rsid w:val="001610C9"/>
    <w:rsid w:val="0016611C"/>
    <w:rsid w:val="001A38DA"/>
    <w:rsid w:val="001D3C38"/>
    <w:rsid w:val="001E20C4"/>
    <w:rsid w:val="001E656A"/>
    <w:rsid w:val="001F52AE"/>
    <w:rsid w:val="002158D2"/>
    <w:rsid w:val="00216A0A"/>
    <w:rsid w:val="00220406"/>
    <w:rsid w:val="00237E5E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3E5DB4"/>
    <w:rsid w:val="003E6931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81055"/>
    <w:rsid w:val="00581B40"/>
    <w:rsid w:val="00584F8D"/>
    <w:rsid w:val="00597CD2"/>
    <w:rsid w:val="005B1085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7DE0"/>
    <w:rsid w:val="00664E63"/>
    <w:rsid w:val="006909F0"/>
    <w:rsid w:val="00691FA7"/>
    <w:rsid w:val="006C4E6F"/>
    <w:rsid w:val="0071029F"/>
    <w:rsid w:val="00716DE9"/>
    <w:rsid w:val="007242C4"/>
    <w:rsid w:val="00757549"/>
    <w:rsid w:val="007661FC"/>
    <w:rsid w:val="00771845"/>
    <w:rsid w:val="00782ED8"/>
    <w:rsid w:val="0079413E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7074"/>
    <w:rsid w:val="008A50A7"/>
    <w:rsid w:val="008C73BA"/>
    <w:rsid w:val="008D40D3"/>
    <w:rsid w:val="008F5B07"/>
    <w:rsid w:val="008F6E7F"/>
    <w:rsid w:val="009269FB"/>
    <w:rsid w:val="0093505C"/>
    <w:rsid w:val="00952C3B"/>
    <w:rsid w:val="009634EC"/>
    <w:rsid w:val="009B78DB"/>
    <w:rsid w:val="009C1799"/>
    <w:rsid w:val="009C4FFA"/>
    <w:rsid w:val="009C73DF"/>
    <w:rsid w:val="009E0BD7"/>
    <w:rsid w:val="009F05A4"/>
    <w:rsid w:val="00A27450"/>
    <w:rsid w:val="00A428F6"/>
    <w:rsid w:val="00A667A4"/>
    <w:rsid w:val="00A87778"/>
    <w:rsid w:val="00A9530C"/>
    <w:rsid w:val="00AB250B"/>
    <w:rsid w:val="00AB4E77"/>
    <w:rsid w:val="00AC3686"/>
    <w:rsid w:val="00AD4CF8"/>
    <w:rsid w:val="00AE5356"/>
    <w:rsid w:val="00B1155A"/>
    <w:rsid w:val="00B81A2F"/>
    <w:rsid w:val="00B8372B"/>
    <w:rsid w:val="00B842FE"/>
    <w:rsid w:val="00B97F35"/>
    <w:rsid w:val="00BA3B29"/>
    <w:rsid w:val="00BB0191"/>
    <w:rsid w:val="00BC0F30"/>
    <w:rsid w:val="00BD2E3C"/>
    <w:rsid w:val="00BF33DC"/>
    <w:rsid w:val="00BF7FB7"/>
    <w:rsid w:val="00C02B2E"/>
    <w:rsid w:val="00C1526F"/>
    <w:rsid w:val="00C16263"/>
    <w:rsid w:val="00C330FF"/>
    <w:rsid w:val="00C50169"/>
    <w:rsid w:val="00C64656"/>
    <w:rsid w:val="00C65A0B"/>
    <w:rsid w:val="00C66A7B"/>
    <w:rsid w:val="00C734F4"/>
    <w:rsid w:val="00C9069B"/>
    <w:rsid w:val="00CA431D"/>
    <w:rsid w:val="00CC00E6"/>
    <w:rsid w:val="00CC5CD6"/>
    <w:rsid w:val="00CC645F"/>
    <w:rsid w:val="00CD4977"/>
    <w:rsid w:val="00CF206F"/>
    <w:rsid w:val="00D10564"/>
    <w:rsid w:val="00D44221"/>
    <w:rsid w:val="00D46A53"/>
    <w:rsid w:val="00D65511"/>
    <w:rsid w:val="00D903CA"/>
    <w:rsid w:val="00D97336"/>
    <w:rsid w:val="00DA1109"/>
    <w:rsid w:val="00DA4468"/>
    <w:rsid w:val="00DD4EED"/>
    <w:rsid w:val="00DE21EB"/>
    <w:rsid w:val="00DE5459"/>
    <w:rsid w:val="00DE725C"/>
    <w:rsid w:val="00DF0810"/>
    <w:rsid w:val="00DF5DE3"/>
    <w:rsid w:val="00E04772"/>
    <w:rsid w:val="00E4287E"/>
    <w:rsid w:val="00E72080"/>
    <w:rsid w:val="00E7213F"/>
    <w:rsid w:val="00E80BA5"/>
    <w:rsid w:val="00E97872"/>
    <w:rsid w:val="00EA6CB3"/>
    <w:rsid w:val="00ED7394"/>
    <w:rsid w:val="00EF1F63"/>
    <w:rsid w:val="00F00AD4"/>
    <w:rsid w:val="00F30795"/>
    <w:rsid w:val="00F4176A"/>
    <w:rsid w:val="00F62724"/>
    <w:rsid w:val="00F72F3A"/>
    <w:rsid w:val="00F758E4"/>
    <w:rsid w:val="00F771FC"/>
    <w:rsid w:val="00F92842"/>
    <w:rsid w:val="00FA1013"/>
    <w:rsid w:val="00FB44C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62</cp:revision>
  <cp:lastPrinted>2020-01-27T13:01:00Z</cp:lastPrinted>
  <dcterms:created xsi:type="dcterms:W3CDTF">2018-12-23T19:32:00Z</dcterms:created>
  <dcterms:modified xsi:type="dcterms:W3CDTF">2025-01-07T09:26:00Z</dcterms:modified>
</cp:coreProperties>
</file>